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9399941" w:rsidR="00BC08C6" w:rsidRPr="00F21541" w:rsidRDefault="00223E8B" w:rsidP="00F21541">
      <w:pPr>
        <w:pStyle w:val="Header1"/>
      </w:pPr>
      <w:r>
        <w:t>FOI</w:t>
      </w:r>
      <w:r w:rsidR="00DA63D5">
        <w:t xml:space="preserve"> </w:t>
      </w:r>
      <w:r w:rsidR="00C54246">
        <w:t>3430</w:t>
      </w:r>
    </w:p>
    <w:p w14:paraId="03EDF20E" w14:textId="7C139D9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E0313">
        <w:rPr>
          <w:noProof/>
        </w:rPr>
        <w:t>27/01/2025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7C472BC0" w14:textId="24A92FEA" w:rsidR="00C54246" w:rsidRDefault="00C54246" w:rsidP="00C54246">
      <w:pPr>
        <w:pStyle w:val="Header2"/>
      </w:pPr>
      <w:r w:rsidRPr="00C54246">
        <w:t>Please confirm how many Temporary Doctors jobs were filled by agencies and provide a breakdown of the specialty and grade between June 2024 and October 2024.</w:t>
      </w:r>
    </w:p>
    <w:tbl>
      <w:tblPr>
        <w:tblW w:w="9305" w:type="dxa"/>
        <w:tblInd w:w="-10" w:type="dxa"/>
        <w:tblCellMar>
          <w:left w:w="0" w:type="dxa"/>
          <w:right w:w="0" w:type="dxa"/>
        </w:tblCellMar>
        <w:tblLook w:val="04A0" w:firstRow="1" w:lastRow="0" w:firstColumn="1" w:lastColumn="0" w:noHBand="0" w:noVBand="1"/>
      </w:tblPr>
      <w:tblGrid>
        <w:gridCol w:w="2560"/>
        <w:gridCol w:w="1365"/>
        <w:gridCol w:w="720"/>
        <w:gridCol w:w="700"/>
        <w:gridCol w:w="1100"/>
        <w:gridCol w:w="880"/>
        <w:gridCol w:w="1980"/>
      </w:tblGrid>
      <w:tr w:rsidR="001D0187" w:rsidRPr="00384ED4" w14:paraId="29123EC2" w14:textId="77777777" w:rsidTr="001D0187">
        <w:trPr>
          <w:trHeight w:val="300"/>
        </w:trPr>
        <w:tc>
          <w:tcPr>
            <w:tcW w:w="2560" w:type="dxa"/>
            <w:tcBorders>
              <w:top w:val="single" w:sz="8" w:space="0" w:color="auto"/>
              <w:left w:val="single" w:sz="8" w:space="0" w:color="auto"/>
              <w:bottom w:val="single" w:sz="8" w:space="0" w:color="auto"/>
              <w:right w:val="single" w:sz="8" w:space="0" w:color="auto"/>
            </w:tcBorders>
            <w:shd w:val="clear" w:color="auto" w:fill="DDEBF7"/>
            <w:noWrap/>
            <w:tcMar>
              <w:top w:w="0" w:type="dxa"/>
              <w:left w:w="108" w:type="dxa"/>
              <w:bottom w:w="0" w:type="dxa"/>
              <w:right w:w="108" w:type="dxa"/>
            </w:tcMar>
            <w:vAlign w:val="bottom"/>
            <w:hideMark/>
          </w:tcPr>
          <w:p w14:paraId="28B5C8ED" w14:textId="77777777" w:rsidR="001D0187" w:rsidRPr="00384ED4" w:rsidRDefault="001D0187" w:rsidP="00384ED4">
            <w:pPr>
              <w:rPr>
                <w:rFonts w:eastAsia="Calibri" w:cs="Arial"/>
                <w:b/>
                <w:bCs/>
                <w:color w:val="000000"/>
                <w:sz w:val="22"/>
                <w:szCs w:val="22"/>
                <w:lang w:eastAsia="en-GB"/>
              </w:rPr>
            </w:pPr>
            <w:r w:rsidRPr="00384ED4">
              <w:rPr>
                <w:rFonts w:eastAsia="Calibri" w:cs="Arial"/>
                <w:b/>
                <w:bCs/>
                <w:color w:val="000000"/>
                <w:sz w:val="22"/>
                <w:szCs w:val="22"/>
                <w:lang w:eastAsia="en-GB"/>
              </w:rPr>
              <w:t xml:space="preserve">Speciality </w:t>
            </w:r>
          </w:p>
        </w:tc>
        <w:tc>
          <w:tcPr>
            <w:tcW w:w="1365" w:type="dxa"/>
            <w:tcBorders>
              <w:top w:val="single" w:sz="8" w:space="0" w:color="auto"/>
              <w:left w:val="nil"/>
              <w:bottom w:val="single" w:sz="8" w:space="0" w:color="auto"/>
              <w:right w:val="single" w:sz="8" w:space="0" w:color="auto"/>
            </w:tcBorders>
            <w:shd w:val="clear" w:color="auto" w:fill="DDEBF7"/>
            <w:noWrap/>
            <w:tcMar>
              <w:top w:w="0" w:type="dxa"/>
              <w:left w:w="108" w:type="dxa"/>
              <w:bottom w:w="0" w:type="dxa"/>
              <w:right w:w="108" w:type="dxa"/>
            </w:tcMar>
            <w:vAlign w:val="bottom"/>
            <w:hideMark/>
          </w:tcPr>
          <w:p w14:paraId="60EA0124" w14:textId="77777777" w:rsidR="001D0187" w:rsidRPr="00384ED4" w:rsidRDefault="001D0187" w:rsidP="00384ED4">
            <w:pPr>
              <w:rPr>
                <w:rFonts w:eastAsia="Calibri" w:cs="Arial"/>
                <w:b/>
                <w:bCs/>
                <w:color w:val="000000"/>
                <w:sz w:val="22"/>
                <w:szCs w:val="22"/>
                <w:lang w:eastAsia="en-GB"/>
              </w:rPr>
            </w:pPr>
            <w:r w:rsidRPr="00384ED4">
              <w:rPr>
                <w:rFonts w:eastAsia="Calibri" w:cs="Arial"/>
                <w:b/>
                <w:bCs/>
                <w:color w:val="000000"/>
                <w:sz w:val="22"/>
                <w:szCs w:val="22"/>
                <w:lang w:eastAsia="en-GB"/>
              </w:rPr>
              <w:t>Consultant</w:t>
            </w:r>
          </w:p>
        </w:tc>
        <w:tc>
          <w:tcPr>
            <w:tcW w:w="720" w:type="dxa"/>
            <w:tcBorders>
              <w:top w:val="single" w:sz="8" w:space="0" w:color="auto"/>
              <w:left w:val="nil"/>
              <w:bottom w:val="single" w:sz="8" w:space="0" w:color="auto"/>
              <w:right w:val="single" w:sz="8" w:space="0" w:color="auto"/>
            </w:tcBorders>
            <w:shd w:val="clear" w:color="auto" w:fill="DDEBF7"/>
            <w:noWrap/>
            <w:tcMar>
              <w:top w:w="0" w:type="dxa"/>
              <w:left w:w="108" w:type="dxa"/>
              <w:bottom w:w="0" w:type="dxa"/>
              <w:right w:w="108" w:type="dxa"/>
            </w:tcMar>
            <w:vAlign w:val="bottom"/>
            <w:hideMark/>
          </w:tcPr>
          <w:p w14:paraId="0C3AA224" w14:textId="77777777" w:rsidR="001D0187" w:rsidRPr="00384ED4" w:rsidRDefault="001D0187" w:rsidP="00384ED4">
            <w:pPr>
              <w:rPr>
                <w:rFonts w:eastAsia="Calibri" w:cs="Arial"/>
                <w:b/>
                <w:bCs/>
                <w:color w:val="000000"/>
                <w:sz w:val="22"/>
                <w:szCs w:val="22"/>
                <w:lang w:eastAsia="en-GB"/>
              </w:rPr>
            </w:pPr>
            <w:r w:rsidRPr="00384ED4">
              <w:rPr>
                <w:rFonts w:eastAsia="Calibri" w:cs="Arial"/>
                <w:b/>
                <w:bCs/>
                <w:color w:val="000000"/>
                <w:sz w:val="22"/>
                <w:szCs w:val="22"/>
                <w:lang w:eastAsia="en-GB"/>
              </w:rPr>
              <w:t>FY1</w:t>
            </w:r>
          </w:p>
        </w:tc>
        <w:tc>
          <w:tcPr>
            <w:tcW w:w="700" w:type="dxa"/>
            <w:tcBorders>
              <w:top w:val="single" w:sz="8" w:space="0" w:color="auto"/>
              <w:left w:val="nil"/>
              <w:bottom w:val="single" w:sz="8" w:space="0" w:color="auto"/>
              <w:right w:val="single" w:sz="8" w:space="0" w:color="auto"/>
            </w:tcBorders>
            <w:shd w:val="clear" w:color="auto" w:fill="DDEBF7"/>
            <w:noWrap/>
            <w:tcMar>
              <w:top w:w="0" w:type="dxa"/>
              <w:left w:w="108" w:type="dxa"/>
              <w:bottom w:w="0" w:type="dxa"/>
              <w:right w:w="108" w:type="dxa"/>
            </w:tcMar>
            <w:vAlign w:val="bottom"/>
            <w:hideMark/>
          </w:tcPr>
          <w:p w14:paraId="406AED4F" w14:textId="77777777" w:rsidR="001D0187" w:rsidRPr="00384ED4" w:rsidRDefault="001D0187" w:rsidP="00384ED4">
            <w:pPr>
              <w:rPr>
                <w:rFonts w:eastAsia="Calibri" w:cs="Arial"/>
                <w:b/>
                <w:bCs/>
                <w:color w:val="000000"/>
                <w:sz w:val="22"/>
                <w:szCs w:val="22"/>
                <w:lang w:eastAsia="en-GB"/>
              </w:rPr>
            </w:pPr>
            <w:r w:rsidRPr="00384ED4">
              <w:rPr>
                <w:rFonts w:eastAsia="Calibri" w:cs="Arial"/>
                <w:b/>
                <w:bCs/>
                <w:color w:val="000000"/>
                <w:sz w:val="22"/>
                <w:szCs w:val="22"/>
                <w:lang w:eastAsia="en-GB"/>
              </w:rPr>
              <w:t>FY2</w:t>
            </w:r>
          </w:p>
        </w:tc>
        <w:tc>
          <w:tcPr>
            <w:tcW w:w="1100" w:type="dxa"/>
            <w:tcBorders>
              <w:top w:val="single" w:sz="8" w:space="0" w:color="auto"/>
              <w:left w:val="nil"/>
              <w:bottom w:val="single" w:sz="8" w:space="0" w:color="auto"/>
              <w:right w:val="single" w:sz="8" w:space="0" w:color="auto"/>
            </w:tcBorders>
            <w:shd w:val="clear" w:color="auto" w:fill="DDEBF7"/>
            <w:noWrap/>
            <w:tcMar>
              <w:top w:w="0" w:type="dxa"/>
              <w:left w:w="108" w:type="dxa"/>
              <w:bottom w:w="0" w:type="dxa"/>
              <w:right w:w="108" w:type="dxa"/>
            </w:tcMar>
            <w:vAlign w:val="bottom"/>
            <w:hideMark/>
          </w:tcPr>
          <w:p w14:paraId="611ECC4F" w14:textId="77777777" w:rsidR="001D0187" w:rsidRPr="00384ED4" w:rsidRDefault="001D0187" w:rsidP="00384ED4">
            <w:pPr>
              <w:rPr>
                <w:rFonts w:eastAsia="Calibri" w:cs="Arial"/>
                <w:b/>
                <w:bCs/>
                <w:color w:val="000000"/>
                <w:sz w:val="22"/>
                <w:szCs w:val="22"/>
                <w:lang w:eastAsia="en-GB"/>
              </w:rPr>
            </w:pPr>
            <w:r w:rsidRPr="00384ED4">
              <w:rPr>
                <w:rFonts w:eastAsia="Calibri" w:cs="Arial"/>
                <w:b/>
                <w:bCs/>
                <w:color w:val="000000"/>
                <w:sz w:val="22"/>
                <w:szCs w:val="22"/>
                <w:lang w:eastAsia="en-GB"/>
              </w:rPr>
              <w:t>ST1-ST2</w:t>
            </w:r>
          </w:p>
        </w:tc>
        <w:tc>
          <w:tcPr>
            <w:tcW w:w="880" w:type="dxa"/>
            <w:tcBorders>
              <w:top w:val="single" w:sz="8" w:space="0" w:color="auto"/>
              <w:left w:val="nil"/>
              <w:bottom w:val="single" w:sz="8" w:space="0" w:color="auto"/>
              <w:right w:val="single" w:sz="8" w:space="0" w:color="auto"/>
            </w:tcBorders>
            <w:shd w:val="clear" w:color="auto" w:fill="DDEBF7"/>
            <w:noWrap/>
            <w:tcMar>
              <w:top w:w="0" w:type="dxa"/>
              <w:left w:w="108" w:type="dxa"/>
              <w:bottom w:w="0" w:type="dxa"/>
              <w:right w:w="108" w:type="dxa"/>
            </w:tcMar>
            <w:vAlign w:val="bottom"/>
            <w:hideMark/>
          </w:tcPr>
          <w:p w14:paraId="7590E004" w14:textId="77777777" w:rsidR="001D0187" w:rsidRPr="00384ED4" w:rsidRDefault="001D0187" w:rsidP="00384ED4">
            <w:pPr>
              <w:rPr>
                <w:rFonts w:eastAsia="Calibri" w:cs="Arial"/>
                <w:b/>
                <w:bCs/>
                <w:color w:val="000000"/>
                <w:sz w:val="22"/>
                <w:szCs w:val="22"/>
                <w:lang w:eastAsia="en-GB"/>
              </w:rPr>
            </w:pPr>
            <w:r w:rsidRPr="00384ED4">
              <w:rPr>
                <w:rFonts w:eastAsia="Calibri" w:cs="Arial"/>
                <w:b/>
                <w:bCs/>
                <w:color w:val="000000"/>
                <w:sz w:val="22"/>
                <w:szCs w:val="22"/>
                <w:lang w:eastAsia="en-GB"/>
              </w:rPr>
              <w:t>ST3+</w:t>
            </w:r>
          </w:p>
        </w:tc>
        <w:tc>
          <w:tcPr>
            <w:tcW w:w="1980" w:type="dxa"/>
            <w:tcBorders>
              <w:top w:val="single" w:sz="8" w:space="0" w:color="auto"/>
              <w:left w:val="nil"/>
              <w:bottom w:val="single" w:sz="8" w:space="0" w:color="auto"/>
              <w:right w:val="single" w:sz="8" w:space="0" w:color="auto"/>
            </w:tcBorders>
            <w:shd w:val="clear" w:color="auto" w:fill="DDEBF7"/>
            <w:noWrap/>
            <w:tcMar>
              <w:top w:w="0" w:type="dxa"/>
              <w:left w:w="108" w:type="dxa"/>
              <w:bottom w:w="0" w:type="dxa"/>
              <w:right w:w="108" w:type="dxa"/>
            </w:tcMar>
            <w:vAlign w:val="bottom"/>
            <w:hideMark/>
          </w:tcPr>
          <w:p w14:paraId="51EEFA2E" w14:textId="77777777" w:rsidR="001D0187" w:rsidRPr="00384ED4" w:rsidRDefault="001D0187" w:rsidP="00384ED4">
            <w:pPr>
              <w:rPr>
                <w:rFonts w:eastAsia="Calibri" w:cs="Arial"/>
                <w:b/>
                <w:bCs/>
                <w:color w:val="000000"/>
                <w:sz w:val="22"/>
                <w:szCs w:val="22"/>
                <w:lang w:eastAsia="en-GB"/>
              </w:rPr>
            </w:pPr>
            <w:r w:rsidRPr="00384ED4">
              <w:rPr>
                <w:rFonts w:eastAsia="Calibri" w:cs="Arial"/>
                <w:b/>
                <w:bCs/>
                <w:color w:val="000000"/>
                <w:sz w:val="22"/>
                <w:szCs w:val="22"/>
                <w:lang w:eastAsia="en-GB"/>
              </w:rPr>
              <w:t>Speciality Doctor</w:t>
            </w:r>
          </w:p>
        </w:tc>
      </w:tr>
      <w:tr w:rsidR="001D0187" w:rsidRPr="00384ED4" w14:paraId="033A6BBD"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BFE6115"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Acute Medicine</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8DF3CD8"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23</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72DF89F"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9A7B08B"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8</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12CBAF6"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C0D2982"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34</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FFE5EA2"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0F8795BE"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343F2EB"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Cancer Services</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0CB2999"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18</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D077F50"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3AC0AC4"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A25A77D"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1975FA6"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73D12E2"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7CB67081"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F8862C7"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Cardiology</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E425472"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23</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1AE5F53"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98BB8B0"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03900FE"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5E7EDEF"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17</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D9FC59D"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672C3826"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E070330"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Elderly Medicine</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E12523A"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70</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FE97CC5"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B647B97"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7</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8E62A84" w14:textId="2D948818"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w:t>
            </w:r>
            <w:r>
              <w:rPr>
                <w:rFonts w:eastAsia="Calibri" w:cs="Arial"/>
                <w:color w:val="000000"/>
                <w:sz w:val="22"/>
                <w:szCs w:val="22"/>
                <w:lang w:eastAsia="en-GB"/>
              </w:rPr>
              <w:t>-5</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0FA01E9"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15</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228406D"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1D335AC8"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67306A3"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Emergency Department</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5D26638"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6</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3A8455E"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979E484"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11</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4406CBB" w14:textId="48681024"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w:t>
            </w:r>
            <w:r>
              <w:rPr>
                <w:rFonts w:eastAsia="Calibri" w:cs="Arial"/>
                <w:color w:val="000000"/>
                <w:sz w:val="22"/>
                <w:szCs w:val="22"/>
                <w:lang w:eastAsia="en-GB"/>
              </w:rPr>
              <w:t>-5</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697EE12"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18</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D94DB7E"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3D4BB2B5"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62E7642"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Gastroenterology</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F7BA661"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7</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5AAC05D"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2A2838F"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F9DBB45"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1263A5A"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2998B4E"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01005742"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C13AC5D"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General Surgery</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9C820C3" w14:textId="6C039587" w:rsidR="001D0187" w:rsidRPr="00384ED4" w:rsidRDefault="001D0187" w:rsidP="00384ED4">
            <w:pPr>
              <w:jc w:val="center"/>
              <w:rPr>
                <w:rFonts w:eastAsia="Calibri" w:cs="Arial"/>
                <w:color w:val="000000"/>
                <w:sz w:val="22"/>
                <w:szCs w:val="22"/>
                <w:lang w:eastAsia="en-GB"/>
              </w:rPr>
            </w:pPr>
            <w:r>
              <w:rPr>
                <w:rFonts w:eastAsia="Calibri" w:cs="Arial"/>
                <w:color w:val="000000"/>
                <w:sz w:val="22"/>
                <w:szCs w:val="22"/>
                <w:lang w:eastAsia="en-GB"/>
              </w:rPr>
              <w:t>1-5</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D9D9C6D"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286D54B" w14:textId="5333F39B"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w:t>
            </w:r>
            <w:r>
              <w:rPr>
                <w:rFonts w:eastAsia="Calibri" w:cs="Arial"/>
                <w:color w:val="000000"/>
                <w:sz w:val="22"/>
                <w:szCs w:val="22"/>
                <w:lang w:eastAsia="en-GB"/>
              </w:rPr>
              <w:t>-5</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9B173F6"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7BA9CC7"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8</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D1D543C"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6F435272"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52039B9"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Medical Specialties</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0533145"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39</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295F8D8"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E7849B6"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7B0C3C0"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3528785" w14:textId="2607DB5E" w:rsidR="001D0187" w:rsidRPr="00384ED4" w:rsidRDefault="001D0187" w:rsidP="00384ED4">
            <w:pPr>
              <w:jc w:val="center"/>
              <w:rPr>
                <w:rFonts w:eastAsia="Calibri" w:cs="Arial"/>
                <w:color w:val="000000"/>
                <w:sz w:val="22"/>
                <w:szCs w:val="22"/>
                <w:lang w:eastAsia="en-GB"/>
              </w:rPr>
            </w:pPr>
            <w:r>
              <w:rPr>
                <w:rFonts w:eastAsia="Calibri" w:cs="Arial"/>
                <w:color w:val="000000"/>
                <w:sz w:val="22"/>
                <w:szCs w:val="22"/>
                <w:lang w:eastAsia="en-GB"/>
              </w:rPr>
              <w:t>1-5</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025F34C"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0ED0B471"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4BEE251"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Medicine</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9FCFD7E"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44</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99589DC" w14:textId="3318E98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w:t>
            </w:r>
            <w:r>
              <w:rPr>
                <w:rFonts w:eastAsia="Calibri" w:cs="Arial"/>
                <w:color w:val="000000"/>
                <w:sz w:val="22"/>
                <w:szCs w:val="22"/>
                <w:lang w:eastAsia="en-GB"/>
              </w:rPr>
              <w:t>-5</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8D6BAE1"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53</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0CC0A2D" w14:textId="37A4A179" w:rsidR="001D0187" w:rsidRPr="00384ED4" w:rsidRDefault="001D0187" w:rsidP="00384ED4">
            <w:pPr>
              <w:jc w:val="center"/>
              <w:rPr>
                <w:rFonts w:eastAsia="Calibri" w:cs="Arial"/>
                <w:color w:val="000000"/>
                <w:sz w:val="22"/>
                <w:szCs w:val="22"/>
                <w:lang w:eastAsia="en-GB"/>
              </w:rPr>
            </w:pPr>
            <w:r>
              <w:rPr>
                <w:rFonts w:eastAsia="Calibri" w:cs="Arial"/>
                <w:color w:val="000000"/>
                <w:sz w:val="22"/>
                <w:szCs w:val="22"/>
                <w:lang w:eastAsia="en-GB"/>
              </w:rPr>
              <w:t>1-5</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EAF4248"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130</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48E8724" w14:textId="4BFF3414" w:rsidR="001D0187" w:rsidRPr="00384ED4" w:rsidRDefault="001D0187" w:rsidP="00384ED4">
            <w:pPr>
              <w:jc w:val="center"/>
              <w:rPr>
                <w:rFonts w:eastAsia="Calibri" w:cs="Arial"/>
                <w:color w:val="000000"/>
                <w:sz w:val="22"/>
                <w:szCs w:val="22"/>
                <w:lang w:eastAsia="en-GB"/>
              </w:rPr>
            </w:pPr>
            <w:r>
              <w:rPr>
                <w:rFonts w:eastAsia="Calibri" w:cs="Arial"/>
                <w:color w:val="000000"/>
                <w:sz w:val="22"/>
                <w:szCs w:val="22"/>
                <w:lang w:eastAsia="en-GB"/>
              </w:rPr>
              <w:t>1-5</w:t>
            </w:r>
          </w:p>
        </w:tc>
      </w:tr>
      <w:tr w:rsidR="001D0187" w:rsidRPr="00384ED4" w14:paraId="7B6F04BF"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7A6FBBC"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NICU</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C144D56"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1E7C7C4"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3E776C9"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16</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1C4A28F"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F9D21DD"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7</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A28F3ED" w14:textId="3504161B"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w:t>
            </w:r>
            <w:r>
              <w:rPr>
                <w:rFonts w:eastAsia="Calibri" w:cs="Arial"/>
                <w:color w:val="000000"/>
                <w:sz w:val="22"/>
                <w:szCs w:val="22"/>
                <w:lang w:eastAsia="en-GB"/>
              </w:rPr>
              <w:t>-5</w:t>
            </w:r>
          </w:p>
        </w:tc>
      </w:tr>
      <w:tr w:rsidR="001D0187" w:rsidRPr="00384ED4" w14:paraId="69BEAC9F"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D16020E"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Obstetrics</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059B7DE"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8</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CEF7EF7"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AE68FDD"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A29FA19"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76C866C"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96DA1F2"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269F6EA1"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2F14DCA"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OMFS &amp; Plastics</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E422C28"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BA4B1FB"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84CAD8C" w14:textId="4F091CBE" w:rsidR="001D0187" w:rsidRPr="00384ED4" w:rsidRDefault="001D0187" w:rsidP="00384ED4">
            <w:pPr>
              <w:jc w:val="center"/>
              <w:rPr>
                <w:rFonts w:eastAsia="Calibri" w:cs="Arial"/>
                <w:color w:val="000000"/>
                <w:sz w:val="22"/>
                <w:szCs w:val="22"/>
                <w:lang w:eastAsia="en-GB"/>
              </w:rPr>
            </w:pPr>
            <w:r>
              <w:rPr>
                <w:rFonts w:eastAsia="Calibri" w:cs="Arial"/>
                <w:color w:val="000000"/>
                <w:sz w:val="22"/>
                <w:szCs w:val="22"/>
                <w:lang w:eastAsia="en-GB"/>
              </w:rPr>
              <w:t>1-5</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0AA92A6"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AC8CC63"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455C2E3"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7F82255E"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4D63DE7E"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Ophthalmology</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B5B76F8" w14:textId="0273FD61"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w:t>
            </w:r>
            <w:r>
              <w:rPr>
                <w:rFonts w:eastAsia="Calibri" w:cs="Arial"/>
                <w:color w:val="000000"/>
                <w:sz w:val="22"/>
                <w:szCs w:val="22"/>
                <w:lang w:eastAsia="en-GB"/>
              </w:rPr>
              <w:t>-5</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EEFD0D9"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12BFCFB"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F951574"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564EF0A" w14:textId="00300E85"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w:t>
            </w:r>
            <w:r>
              <w:rPr>
                <w:rFonts w:eastAsia="Calibri" w:cs="Arial"/>
                <w:color w:val="000000"/>
                <w:sz w:val="22"/>
                <w:szCs w:val="22"/>
                <w:lang w:eastAsia="en-GB"/>
              </w:rPr>
              <w:t>-5</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C331BB0"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7CA884C4"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EE0748B"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Paediatrics</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3E3D9D4"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72871FC"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5A98D78"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4A4DB8E"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387C1CF"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7</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A22F945"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497B0AFB"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7FA604A"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Pathology</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B4CF84A"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15</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2DDD699"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37E6966"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39E4247"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9615790"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20</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6690ADF"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15D4A36F"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0611607"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Theatres &amp; Anaesthetics</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796D206"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00414F5"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7A4E0AE"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B4C5FC8"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C035D0F"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8160DC0"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19</w:t>
            </w:r>
          </w:p>
        </w:tc>
      </w:tr>
      <w:tr w:rsidR="001D0187" w:rsidRPr="00384ED4" w14:paraId="7A369A97"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98E96B1"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Trauma &amp; Orthopaedics</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E37D514"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8</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EF60C67"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0467E5F" w14:textId="49859B0F"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w:t>
            </w:r>
            <w:r>
              <w:rPr>
                <w:rFonts w:eastAsia="Calibri" w:cs="Arial"/>
                <w:color w:val="000000"/>
                <w:sz w:val="22"/>
                <w:szCs w:val="22"/>
                <w:lang w:eastAsia="en-GB"/>
              </w:rPr>
              <w:t>-5</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B6AC9C4"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ACB5A71" w14:textId="326A15C1" w:rsidR="001D0187" w:rsidRPr="00384ED4" w:rsidRDefault="001D0187" w:rsidP="00384ED4">
            <w:pPr>
              <w:jc w:val="center"/>
              <w:rPr>
                <w:rFonts w:eastAsia="Calibri" w:cs="Arial"/>
                <w:color w:val="000000"/>
                <w:sz w:val="22"/>
                <w:szCs w:val="22"/>
                <w:lang w:eastAsia="en-GB"/>
              </w:rPr>
            </w:pPr>
            <w:r>
              <w:rPr>
                <w:rFonts w:eastAsia="Calibri" w:cs="Arial"/>
                <w:color w:val="000000"/>
                <w:sz w:val="22"/>
                <w:szCs w:val="22"/>
                <w:lang w:eastAsia="en-GB"/>
              </w:rPr>
              <w:t>1-5</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6596CCD"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r>
      <w:tr w:rsidR="001D0187" w:rsidRPr="00384ED4" w14:paraId="373C2AD7" w14:textId="77777777" w:rsidTr="001D0187">
        <w:trPr>
          <w:trHeight w:val="300"/>
        </w:trPr>
        <w:tc>
          <w:tcPr>
            <w:tcW w:w="256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BD59BAD" w14:textId="77777777" w:rsidR="001D0187" w:rsidRPr="00384ED4" w:rsidRDefault="001D0187" w:rsidP="00384ED4">
            <w:pPr>
              <w:rPr>
                <w:rFonts w:eastAsia="Calibri" w:cs="Arial"/>
                <w:color w:val="000000"/>
                <w:sz w:val="22"/>
                <w:szCs w:val="22"/>
                <w:lang w:eastAsia="en-GB"/>
              </w:rPr>
            </w:pPr>
            <w:r w:rsidRPr="00384ED4">
              <w:rPr>
                <w:rFonts w:eastAsia="Calibri" w:cs="Arial"/>
                <w:color w:val="000000"/>
                <w:sz w:val="22"/>
                <w:szCs w:val="22"/>
                <w:lang w:eastAsia="en-GB"/>
              </w:rPr>
              <w:t>Urology</w:t>
            </w:r>
          </w:p>
        </w:tc>
        <w:tc>
          <w:tcPr>
            <w:tcW w:w="1365"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CC20965"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2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AEF67D1"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7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D6EAE24"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110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A1B869A"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 </w:t>
            </w:r>
          </w:p>
        </w:tc>
        <w:tc>
          <w:tcPr>
            <w:tcW w:w="8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D078E99" w14:textId="6C52DCB4" w:rsidR="001D0187" w:rsidRPr="00384ED4" w:rsidRDefault="001D0187" w:rsidP="00384ED4">
            <w:pPr>
              <w:jc w:val="center"/>
              <w:rPr>
                <w:rFonts w:eastAsia="Calibri" w:cs="Arial"/>
                <w:color w:val="000000"/>
                <w:sz w:val="22"/>
                <w:szCs w:val="22"/>
                <w:lang w:eastAsia="en-GB"/>
              </w:rPr>
            </w:pPr>
            <w:r>
              <w:rPr>
                <w:rFonts w:eastAsia="Calibri" w:cs="Arial"/>
                <w:color w:val="000000"/>
                <w:sz w:val="22"/>
                <w:szCs w:val="22"/>
                <w:lang w:eastAsia="en-GB"/>
              </w:rPr>
              <w:t>1-5</w:t>
            </w:r>
          </w:p>
        </w:tc>
        <w:tc>
          <w:tcPr>
            <w:tcW w:w="198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5F65675" w14:textId="77777777" w:rsidR="001D0187" w:rsidRPr="00384ED4" w:rsidRDefault="001D0187" w:rsidP="00384ED4">
            <w:pPr>
              <w:jc w:val="center"/>
              <w:rPr>
                <w:rFonts w:eastAsia="Calibri" w:cs="Arial"/>
                <w:color w:val="000000"/>
                <w:sz w:val="22"/>
                <w:szCs w:val="22"/>
                <w:lang w:eastAsia="en-GB"/>
              </w:rPr>
            </w:pPr>
            <w:r w:rsidRPr="00384ED4">
              <w:rPr>
                <w:rFonts w:eastAsia="Calibri" w:cs="Arial"/>
                <w:color w:val="000000"/>
                <w:sz w:val="22"/>
                <w:szCs w:val="22"/>
                <w:lang w:eastAsia="en-GB"/>
              </w:rPr>
              <w:t>15</w:t>
            </w:r>
          </w:p>
        </w:tc>
      </w:tr>
    </w:tbl>
    <w:p w14:paraId="464F5968" w14:textId="704968B1" w:rsidR="00384ED4" w:rsidRPr="00C54246" w:rsidRDefault="00384ED4" w:rsidP="00384ED4">
      <w:pPr>
        <w:pStyle w:val="Header2"/>
        <w:numPr>
          <w:ilvl w:val="0"/>
          <w:numId w:val="0"/>
        </w:numPr>
      </w:pPr>
    </w:p>
    <w:p w14:paraId="51666EFE" w14:textId="59243FA2" w:rsidR="00C54246" w:rsidRDefault="00C54246" w:rsidP="00C54246">
      <w:pPr>
        <w:pStyle w:val="Header2"/>
      </w:pPr>
      <w:r w:rsidRPr="00C54246">
        <w:t>Please confirm your agency spend for Temporary Doctors between June 2024 and October 2024. Can this be broken down by grade and specialty?</w:t>
      </w:r>
    </w:p>
    <w:p w14:paraId="2E575AAB" w14:textId="5B54B9A5" w:rsidR="00384ED4" w:rsidRDefault="00384ED4" w:rsidP="00384ED4">
      <w:pPr>
        <w:pStyle w:val="BodyCopy"/>
        <w:ind w:left="720"/>
      </w:pPr>
      <w:r>
        <w:t xml:space="preserve">Please see attached </w:t>
      </w:r>
    </w:p>
    <w:p w14:paraId="32C4DE14" w14:textId="4B88430E" w:rsidR="00384ED4" w:rsidRDefault="00384ED4" w:rsidP="00384ED4">
      <w:pPr>
        <w:pStyle w:val="Header2"/>
        <w:numPr>
          <w:ilvl w:val="0"/>
          <w:numId w:val="0"/>
        </w:numPr>
        <w:ind w:left="720" w:hanging="720"/>
      </w:pPr>
    </w:p>
    <w:p w14:paraId="45813D43" w14:textId="4ED46D2C" w:rsidR="001D0072" w:rsidRDefault="001D0072" w:rsidP="00384ED4">
      <w:pPr>
        <w:pStyle w:val="Header2"/>
        <w:numPr>
          <w:ilvl w:val="0"/>
          <w:numId w:val="0"/>
        </w:numPr>
        <w:ind w:left="720" w:hanging="720"/>
      </w:pPr>
    </w:p>
    <w:p w14:paraId="466D1816" w14:textId="77777777" w:rsidR="005F2DC0" w:rsidRPr="00C54246" w:rsidRDefault="005F2DC0" w:rsidP="00384ED4">
      <w:pPr>
        <w:pStyle w:val="Header2"/>
        <w:numPr>
          <w:ilvl w:val="0"/>
          <w:numId w:val="0"/>
        </w:numPr>
        <w:ind w:left="720" w:hanging="720"/>
      </w:pPr>
      <w:bookmarkStart w:id="0" w:name="_GoBack"/>
      <w:bookmarkEnd w:id="0"/>
    </w:p>
    <w:p w14:paraId="61BCE50E" w14:textId="3AAA36FE" w:rsidR="00C54246" w:rsidRDefault="00C54246" w:rsidP="00C54246">
      <w:pPr>
        <w:pStyle w:val="Header2"/>
      </w:pPr>
      <w:r w:rsidRPr="00C54246">
        <w:lastRenderedPageBreak/>
        <w:t xml:space="preserve">Please confirm how many agency Temporary Doctor </w:t>
      </w:r>
      <w:proofErr w:type="gramStart"/>
      <w:r w:rsidRPr="00C54246">
        <w:t>jobs</w:t>
      </w:r>
      <w:proofErr w:type="gramEnd"/>
      <w:r w:rsidRPr="00C54246">
        <w:t xml:space="preserve"> were filled by off-framework agencies, and the spend attached to this.</w:t>
      </w:r>
    </w:p>
    <w:p w14:paraId="12B720DC" w14:textId="27495E55" w:rsidR="00384ED4" w:rsidRDefault="00384ED4" w:rsidP="00384ED4">
      <w:pPr>
        <w:pStyle w:val="BodyCopy"/>
        <w:ind w:left="720"/>
      </w:pPr>
      <w:r>
        <w:t xml:space="preserve">None </w:t>
      </w:r>
    </w:p>
    <w:p w14:paraId="08C7BF59" w14:textId="77777777" w:rsidR="00384ED4" w:rsidRPr="00C54246" w:rsidRDefault="00384ED4" w:rsidP="00384ED4">
      <w:pPr>
        <w:pStyle w:val="Header2"/>
        <w:numPr>
          <w:ilvl w:val="0"/>
          <w:numId w:val="0"/>
        </w:numPr>
        <w:ind w:left="720" w:hanging="720"/>
      </w:pPr>
    </w:p>
    <w:p w14:paraId="26AC41AC" w14:textId="1AEE21B5" w:rsidR="00C54246" w:rsidRDefault="00C54246" w:rsidP="00C54246">
      <w:pPr>
        <w:pStyle w:val="Header2"/>
      </w:pPr>
      <w:r w:rsidRPr="00C54246">
        <w:t xml:space="preserve">Please can you confirm if a DE platform / PSL or tiered system is in place if so, please confirm the </w:t>
      </w:r>
      <w:proofErr w:type="gramStart"/>
      <w:r w:rsidRPr="00C54246">
        <w:t>structure.</w:t>
      </w:r>
      <w:proofErr w:type="gramEnd"/>
    </w:p>
    <w:p w14:paraId="3C8FEF2D" w14:textId="373E029E" w:rsidR="00384ED4" w:rsidRDefault="00384ED4" w:rsidP="00384ED4">
      <w:pPr>
        <w:pStyle w:val="BodyCopy"/>
        <w:ind w:left="720"/>
      </w:pPr>
      <w:r>
        <w:t>DE is in place</w:t>
      </w:r>
    </w:p>
    <w:p w14:paraId="7A186F0A" w14:textId="77777777" w:rsidR="00384ED4" w:rsidRPr="00C54246" w:rsidRDefault="00384ED4" w:rsidP="00384ED4">
      <w:pPr>
        <w:pStyle w:val="Header2"/>
        <w:numPr>
          <w:ilvl w:val="0"/>
          <w:numId w:val="0"/>
        </w:numPr>
        <w:ind w:left="720" w:hanging="720"/>
      </w:pPr>
    </w:p>
    <w:p w14:paraId="3960396E" w14:textId="055AD3C8" w:rsidR="00C54246" w:rsidRDefault="00C54246" w:rsidP="00C54246">
      <w:pPr>
        <w:pStyle w:val="Header2"/>
      </w:pPr>
      <w:r w:rsidRPr="00C54246">
        <w:t>What is the DE to non-DE spend from June 2024 to October 2024?</w:t>
      </w:r>
    </w:p>
    <w:p w14:paraId="0CB8161E" w14:textId="50CF096A" w:rsidR="00384ED4" w:rsidRDefault="00DE0313" w:rsidP="00DE0313">
      <w:pPr>
        <w:pStyle w:val="BodyCopy"/>
        <w:ind w:left="720"/>
      </w:pPr>
      <w:r w:rsidRPr="00DE0313">
        <w:t>All medical agency spend goes through either Holt (Bedford) or 247 (Luton) so is all DE</w:t>
      </w:r>
    </w:p>
    <w:p w14:paraId="10835057" w14:textId="77777777" w:rsidR="00DE0313" w:rsidRPr="00C54246" w:rsidRDefault="00DE0313" w:rsidP="00384ED4">
      <w:pPr>
        <w:pStyle w:val="Header2"/>
        <w:numPr>
          <w:ilvl w:val="0"/>
          <w:numId w:val="0"/>
        </w:numPr>
        <w:ind w:left="720" w:hanging="720"/>
      </w:pPr>
    </w:p>
    <w:p w14:paraId="3B87F18D" w14:textId="0CC9297D" w:rsidR="00C54246" w:rsidRDefault="00C54246" w:rsidP="00C54246">
      <w:pPr>
        <w:pStyle w:val="Header2"/>
      </w:pPr>
      <w:r w:rsidRPr="00C54246">
        <w:t>Does the Trust have a projected agency usage plan for the coming year, and are there specific goals for reducing agency dependency?</w:t>
      </w:r>
    </w:p>
    <w:p w14:paraId="09F8C28A" w14:textId="27F9F083" w:rsidR="00384ED4" w:rsidRDefault="00384ED4" w:rsidP="00384ED4">
      <w:pPr>
        <w:pStyle w:val="BodyCopy"/>
        <w:ind w:left="720"/>
      </w:pPr>
      <w:r w:rsidRPr="00384ED4">
        <w:t>Yes to reduce reliance on agency cover – focus on recruitment and retention and in house Locum Bank</w:t>
      </w:r>
    </w:p>
    <w:p w14:paraId="26CFA358" w14:textId="77777777" w:rsidR="00384ED4" w:rsidRPr="00C54246" w:rsidRDefault="00384ED4" w:rsidP="00384ED4">
      <w:pPr>
        <w:pStyle w:val="Header2"/>
        <w:numPr>
          <w:ilvl w:val="0"/>
          <w:numId w:val="0"/>
        </w:numPr>
        <w:ind w:left="720" w:hanging="720"/>
      </w:pPr>
    </w:p>
    <w:p w14:paraId="694A77BA" w14:textId="460127AB" w:rsidR="00C54246" w:rsidRPr="00C54246" w:rsidRDefault="00C54246" w:rsidP="00C54246">
      <w:pPr>
        <w:pStyle w:val="Header2"/>
      </w:pPr>
      <w:r w:rsidRPr="00C54246">
        <w:t>Long-Term Cost-Reduction Strategy: Is there a long-term strategy in place to reduce agency doctor costs or transition to alternative staffing models?</w:t>
      </w:r>
    </w:p>
    <w:p w14:paraId="7471666C" w14:textId="2318613C" w:rsidR="006015BC" w:rsidRDefault="00384ED4" w:rsidP="00384ED4">
      <w:pPr>
        <w:pStyle w:val="BodyCopy"/>
        <w:ind w:left="720"/>
      </w:pPr>
      <w:r w:rsidRPr="00384ED4">
        <w:t xml:space="preserve">Yes – to reduce locum doctor agency margins </w:t>
      </w:r>
      <w:r w:rsidR="004B7B6C" w:rsidRPr="00384ED4">
        <w:t>&amp; charge</w:t>
      </w:r>
      <w:r w:rsidRPr="00384ED4">
        <w:t xml:space="preserve"> rates</w:t>
      </w:r>
    </w:p>
    <w:p w14:paraId="0BF5A04B" w14:textId="77777777" w:rsidR="00384ED4" w:rsidRPr="006D2A7E" w:rsidRDefault="00384ED4" w:rsidP="0021762F">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39FD63B2" w:rsidR="005110B5" w:rsidRPr="009719C0" w:rsidRDefault="009719C0" w:rsidP="005044F5">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67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D0072"/>
    <w:rsid w:val="001D0187"/>
    <w:rsid w:val="001E3845"/>
    <w:rsid w:val="0021762F"/>
    <w:rsid w:val="00223E8B"/>
    <w:rsid w:val="00256645"/>
    <w:rsid w:val="00276B2F"/>
    <w:rsid w:val="002B7251"/>
    <w:rsid w:val="002C03E3"/>
    <w:rsid w:val="002D6B0B"/>
    <w:rsid w:val="002E4C21"/>
    <w:rsid w:val="003235E4"/>
    <w:rsid w:val="00342EC4"/>
    <w:rsid w:val="00363A0A"/>
    <w:rsid w:val="00384ED4"/>
    <w:rsid w:val="00387B9E"/>
    <w:rsid w:val="003A4AE8"/>
    <w:rsid w:val="003A605B"/>
    <w:rsid w:val="003D64F8"/>
    <w:rsid w:val="003E7A76"/>
    <w:rsid w:val="00464A27"/>
    <w:rsid w:val="004915DF"/>
    <w:rsid w:val="004A3DF9"/>
    <w:rsid w:val="004B7B6C"/>
    <w:rsid w:val="005044F5"/>
    <w:rsid w:val="005110B5"/>
    <w:rsid w:val="00527BE4"/>
    <w:rsid w:val="0053633B"/>
    <w:rsid w:val="0056063A"/>
    <w:rsid w:val="00576351"/>
    <w:rsid w:val="005D650F"/>
    <w:rsid w:val="005F03A3"/>
    <w:rsid w:val="005F2DC0"/>
    <w:rsid w:val="006015BC"/>
    <w:rsid w:val="0060164D"/>
    <w:rsid w:val="0061438C"/>
    <w:rsid w:val="006424B9"/>
    <w:rsid w:val="00672956"/>
    <w:rsid w:val="00681234"/>
    <w:rsid w:val="006B3DD3"/>
    <w:rsid w:val="006B6CE6"/>
    <w:rsid w:val="006D2A7E"/>
    <w:rsid w:val="007A17AA"/>
    <w:rsid w:val="007E2EB1"/>
    <w:rsid w:val="00810B3C"/>
    <w:rsid w:val="00824958"/>
    <w:rsid w:val="008A23F1"/>
    <w:rsid w:val="008A36C2"/>
    <w:rsid w:val="008A6B87"/>
    <w:rsid w:val="008A6CE2"/>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54246"/>
    <w:rsid w:val="00CE2CC3"/>
    <w:rsid w:val="00D011ED"/>
    <w:rsid w:val="00D60B72"/>
    <w:rsid w:val="00D8504D"/>
    <w:rsid w:val="00D85C43"/>
    <w:rsid w:val="00DA63D5"/>
    <w:rsid w:val="00DD04B0"/>
    <w:rsid w:val="00DE0313"/>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673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750733458">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58971509">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01E6EF-DD91-4881-B378-6D9E0A7BEB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2</Pages>
  <Words>510</Words>
  <Characters>2909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10</cp:revision>
  <cp:lastPrinted>2022-11-09T09:56:00Z</cp:lastPrinted>
  <dcterms:created xsi:type="dcterms:W3CDTF">2025-01-17T16:24:00Z</dcterms:created>
  <dcterms:modified xsi:type="dcterms:W3CDTF">2025-01-27T15:53:00Z</dcterms:modified>
</cp:coreProperties>
</file>