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2DE07A2" w:rsidR="00BC08C6" w:rsidRPr="00F21541" w:rsidRDefault="00223E8B" w:rsidP="00F21541">
      <w:pPr>
        <w:pStyle w:val="Header1"/>
      </w:pPr>
      <w:bookmarkStart w:id="0" w:name="_GoBack"/>
      <w:bookmarkEnd w:id="0"/>
      <w:r>
        <w:t>FOI</w:t>
      </w:r>
      <w:r w:rsidR="00724B37">
        <w:t xml:space="preserve"> 2809</w:t>
      </w:r>
    </w:p>
    <w:p w14:paraId="03EDF20E" w14:textId="0378229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53CE4">
        <w:rPr>
          <w:noProof/>
        </w:rPr>
        <w:t>18/01/2024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59C1390C" w14:textId="52F3E875" w:rsidR="00724B37" w:rsidRDefault="00724B37" w:rsidP="00724B37">
      <w:pPr>
        <w:pStyle w:val="Header2"/>
        <w:numPr>
          <w:ilvl w:val="0"/>
          <w:numId w:val="0"/>
        </w:numPr>
        <w:rPr>
          <w:rFonts w:cs="Arial"/>
          <w:szCs w:val="22"/>
        </w:rPr>
      </w:pPr>
      <w:r w:rsidRPr="00724B37">
        <w:rPr>
          <w:rFonts w:cs="Arial"/>
          <w:szCs w:val="22"/>
        </w:rPr>
        <w:t>What MHRA competencies do the Portering staff at Luton &amp; Dunstable Hospital have to enable them to collect and deliver blood products?</w:t>
      </w:r>
    </w:p>
    <w:p w14:paraId="30E5B9A8" w14:textId="77777777" w:rsidR="00724B37" w:rsidRPr="00724B37" w:rsidRDefault="00724B37" w:rsidP="00724B37">
      <w:pPr>
        <w:pStyle w:val="Header2"/>
        <w:numPr>
          <w:ilvl w:val="0"/>
          <w:numId w:val="0"/>
        </w:numPr>
        <w:rPr>
          <w:rFonts w:cs="Arial"/>
          <w:b w:val="0"/>
          <w:szCs w:val="22"/>
        </w:rPr>
      </w:pPr>
      <w:r w:rsidRPr="00724B37">
        <w:rPr>
          <w:rFonts w:cs="Arial"/>
          <w:b w:val="0"/>
          <w:szCs w:val="22"/>
        </w:rPr>
        <w:t xml:space="preserve">The MHRA do not provide competencies, rather they have regulations that instruct Trusts to ensure all personnel are trained initially and that continual training is offered appropriate to specific tasks. </w:t>
      </w:r>
    </w:p>
    <w:p w14:paraId="7229ACAA" w14:textId="4D02EC72" w:rsidR="00724B37" w:rsidRPr="00724B37" w:rsidRDefault="00724B37" w:rsidP="00724B37">
      <w:pPr>
        <w:pStyle w:val="Header2"/>
        <w:numPr>
          <w:ilvl w:val="0"/>
          <w:numId w:val="0"/>
        </w:numPr>
        <w:rPr>
          <w:rFonts w:cs="Arial"/>
          <w:b w:val="0"/>
          <w:szCs w:val="22"/>
        </w:rPr>
      </w:pPr>
      <w:r w:rsidRPr="00724B37">
        <w:rPr>
          <w:rFonts w:cs="Arial"/>
          <w:b w:val="0"/>
          <w:szCs w:val="22"/>
        </w:rPr>
        <w:t>The regulations are not prescriptive regarding how a Trust delivers training but rather describes that Trusts ensure that all personnel must receive initial and continued training appropriate to their specific tasks and that these records must be maintained and that written policies and procedures are in place to describe the approach to training, including a record of training that has taken place, its contents, and its effectiveness. How this is delivered is up to the Trust.</w:t>
      </w:r>
    </w:p>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1087228E" w14:textId="1D6D0675" w:rsidR="003D64F8" w:rsidRDefault="009719C0" w:rsidP="00724B37">
      <w:pPr>
        <w:pStyle w:val="BodyCopy"/>
      </w:pPr>
      <w:r>
        <w:t xml:space="preserve"> Bedfordshire Hospitals NHS Foundation Trust</w:t>
      </w:r>
    </w:p>
    <w:sectPr w:rsidR="003D64F8"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7467" w14:textId="77777777" w:rsidR="000B0B8A" w:rsidRDefault="000B0B8A" w:rsidP="00056722">
      <w:r>
        <w:separator/>
      </w:r>
    </w:p>
  </w:endnote>
  <w:endnote w:type="continuationSeparator" w:id="0">
    <w:p w14:paraId="36B1EC31" w14:textId="77777777" w:rsidR="000B0B8A" w:rsidRDefault="000B0B8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8CDE" w14:textId="77777777" w:rsidR="000B0B8A" w:rsidRDefault="000B0B8A" w:rsidP="00056722">
      <w:r>
        <w:separator/>
      </w:r>
    </w:p>
  </w:footnote>
  <w:footnote w:type="continuationSeparator" w:id="0">
    <w:p w14:paraId="348A092C" w14:textId="77777777" w:rsidR="000B0B8A" w:rsidRDefault="000B0B8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0B0B8A"/>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24B37"/>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53CE4"/>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182061731">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881631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E264-1508-4B3F-B5F5-36A8E0CE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2024-01-18T13:39:00Z</dcterms:created>
  <dcterms:modified xsi:type="dcterms:W3CDTF">2024-01-18T13:39:00Z</dcterms:modified>
</cp:coreProperties>
</file>