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77B7E16" w:rsidR="00BC08C6" w:rsidRPr="00F21541" w:rsidRDefault="00BC08C6" w:rsidP="00F21541">
      <w:pPr>
        <w:pStyle w:val="Header1"/>
      </w:pPr>
      <w:r w:rsidRPr="00F21541">
        <w:t xml:space="preserve">FOI </w:t>
      </w:r>
      <w:r w:rsidR="00B949FE">
        <w:t>1957</w:t>
      </w:r>
    </w:p>
    <w:p w14:paraId="03EDF20E" w14:textId="729A5D7B"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B949FE">
        <w:rPr>
          <w:noProof/>
        </w:rPr>
        <w:t>04/07/2023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4691383A" w14:textId="39218231" w:rsidR="009719C0" w:rsidRPr="00B949FE" w:rsidRDefault="009719C0" w:rsidP="00B949FE">
      <w:pPr>
        <w:pStyle w:val="BodyCopy"/>
      </w:pPr>
      <w:r>
        <w:t>Thank you for your Freedom of Information request. Please note</w:t>
      </w:r>
      <w:proofErr w:type="gramStart"/>
      <w:r>
        <w:t>,</w:t>
      </w:r>
      <w:proofErr w:type="gramEnd"/>
      <w:r>
        <w:t xml:space="preserve"> this is a cross-site response for Bedford site and Luton site.</w:t>
      </w:r>
    </w:p>
    <w:p w14:paraId="4EAAC073" w14:textId="17A0DC66" w:rsidR="00BC08C6" w:rsidRDefault="00BC08C6" w:rsidP="00E652A3">
      <w:pPr>
        <w:pStyle w:val="BodyCopy"/>
      </w:pPr>
      <w:r>
        <w:t>You asked:</w:t>
      </w:r>
    </w:p>
    <w:p w14:paraId="118BC2A3" w14:textId="77777777" w:rsidR="00B949FE" w:rsidRPr="00B949FE" w:rsidRDefault="00B949FE" w:rsidP="00B949FE">
      <w:pPr>
        <w:numPr>
          <w:ilvl w:val="0"/>
          <w:numId w:val="26"/>
        </w:numPr>
        <w:shd w:val="clear" w:color="auto" w:fill="FFFFFF"/>
        <w:tabs>
          <w:tab w:val="clear" w:pos="720"/>
          <w:tab w:val="num" w:pos="370"/>
        </w:tabs>
        <w:spacing w:line="233" w:lineRule="atLeast"/>
        <w:ind w:left="370"/>
        <w:rPr>
          <w:rFonts w:eastAsia="Times New Roman" w:cs="Arial"/>
          <w:b/>
          <w:color w:val="242424"/>
          <w:sz w:val="22"/>
          <w:szCs w:val="22"/>
        </w:rPr>
      </w:pPr>
      <w:proofErr w:type="gramStart"/>
      <w:r w:rsidRPr="00B949FE">
        <w:rPr>
          <w:rFonts w:eastAsia="Times New Roman" w:cs="Arial"/>
          <w:b/>
          <w:color w:val="242424"/>
          <w:sz w:val="22"/>
          <w:szCs w:val="22"/>
          <w:bdr w:val="none" w:sz="0" w:space="0" w:color="auto" w:frame="1"/>
        </w:rPr>
        <w:t>Does the trust contract, or pay for, any services to a limited liability partnership (LLP)?</w:t>
      </w:r>
      <w:proofErr w:type="gramEnd"/>
    </w:p>
    <w:p w14:paraId="39B6B4FE" w14:textId="77777777" w:rsidR="00B949FE" w:rsidRPr="00B949FE" w:rsidRDefault="00B949FE" w:rsidP="00B949FE">
      <w:pPr>
        <w:shd w:val="clear" w:color="auto" w:fill="FFFFFF"/>
        <w:spacing w:line="233" w:lineRule="atLeast"/>
        <w:ind w:left="370"/>
        <w:rPr>
          <w:rFonts w:eastAsia="Times New Roman" w:cs="Arial"/>
          <w:color w:val="242424"/>
          <w:sz w:val="22"/>
          <w:szCs w:val="22"/>
        </w:rPr>
      </w:pPr>
      <w:r w:rsidRPr="00B949FE">
        <w:rPr>
          <w:rFonts w:eastAsia="Times New Roman" w:cs="Arial"/>
          <w:color w:val="242424"/>
          <w:sz w:val="22"/>
          <w:szCs w:val="22"/>
          <w:bdr w:val="none" w:sz="0" w:space="0" w:color="auto" w:frame="1"/>
        </w:rPr>
        <w:t>Yes</w:t>
      </w:r>
    </w:p>
    <w:p w14:paraId="314A3C95" w14:textId="77777777" w:rsidR="00B949FE" w:rsidRPr="00B949FE" w:rsidRDefault="00B949FE" w:rsidP="00B949FE">
      <w:pPr>
        <w:shd w:val="clear" w:color="auto" w:fill="FFFFFF"/>
        <w:spacing w:line="233" w:lineRule="atLeast"/>
        <w:ind w:left="370"/>
        <w:rPr>
          <w:rFonts w:eastAsia="Times New Roman" w:cs="Arial"/>
          <w:b/>
          <w:color w:val="242424"/>
          <w:sz w:val="22"/>
          <w:szCs w:val="22"/>
        </w:rPr>
      </w:pPr>
      <w:r w:rsidRPr="00B949FE">
        <w:rPr>
          <w:rFonts w:eastAsia="Times New Roman" w:cs="Arial"/>
          <w:b/>
          <w:color w:val="242424"/>
          <w:sz w:val="22"/>
          <w:szCs w:val="22"/>
          <w:bdr w:val="none" w:sz="0" w:space="0" w:color="auto" w:frame="1"/>
        </w:rPr>
        <w:t> </w:t>
      </w:r>
    </w:p>
    <w:p w14:paraId="0802DE79" w14:textId="77777777" w:rsidR="00B949FE" w:rsidRPr="00B949FE" w:rsidRDefault="00B949FE" w:rsidP="00B949FE">
      <w:pPr>
        <w:numPr>
          <w:ilvl w:val="0"/>
          <w:numId w:val="27"/>
        </w:numPr>
        <w:shd w:val="clear" w:color="auto" w:fill="FFFFFF"/>
        <w:tabs>
          <w:tab w:val="clear" w:pos="720"/>
          <w:tab w:val="num" w:pos="370"/>
        </w:tabs>
        <w:spacing w:line="233" w:lineRule="atLeast"/>
        <w:ind w:left="370"/>
        <w:rPr>
          <w:rFonts w:eastAsia="Times New Roman" w:cs="Arial"/>
          <w:b/>
          <w:color w:val="242424"/>
          <w:sz w:val="22"/>
          <w:szCs w:val="22"/>
        </w:rPr>
      </w:pPr>
      <w:r w:rsidRPr="00B949FE">
        <w:rPr>
          <w:rFonts w:eastAsia="Times New Roman" w:cs="Arial"/>
          <w:b/>
          <w:color w:val="242424"/>
          <w:sz w:val="22"/>
          <w:szCs w:val="22"/>
          <w:bdr w:val="none" w:sz="0" w:space="0" w:color="auto" w:frame="1"/>
        </w:rPr>
        <w:t>If the answer to the above is “yes,” please can you disclose the following:</w:t>
      </w:r>
    </w:p>
    <w:p w14:paraId="711D803A" w14:textId="77777777" w:rsidR="00B949FE" w:rsidRPr="00B949FE" w:rsidRDefault="00B949FE" w:rsidP="00B949FE">
      <w:pPr>
        <w:shd w:val="clear" w:color="auto" w:fill="FFFFFF"/>
        <w:spacing w:line="233" w:lineRule="atLeast"/>
        <w:ind w:left="370"/>
        <w:rPr>
          <w:rFonts w:eastAsia="Times New Roman" w:cs="Arial"/>
          <w:b/>
          <w:color w:val="242424"/>
          <w:sz w:val="22"/>
          <w:szCs w:val="22"/>
        </w:rPr>
      </w:pPr>
      <w:r w:rsidRPr="00B949FE">
        <w:rPr>
          <w:rFonts w:eastAsia="Times New Roman" w:cs="Arial"/>
          <w:b/>
          <w:color w:val="242424"/>
          <w:sz w:val="22"/>
          <w:szCs w:val="22"/>
          <w:bdr w:val="none" w:sz="0" w:space="0" w:color="auto" w:frame="1"/>
        </w:rPr>
        <w:t> </w:t>
      </w:r>
    </w:p>
    <w:p w14:paraId="13CD1AB9" w14:textId="77777777" w:rsidR="00B949FE" w:rsidRPr="00B949FE" w:rsidRDefault="00B949FE" w:rsidP="00B949FE">
      <w:pPr>
        <w:numPr>
          <w:ilvl w:val="0"/>
          <w:numId w:val="28"/>
        </w:numPr>
        <w:shd w:val="clear" w:color="auto" w:fill="FFFFFF"/>
        <w:tabs>
          <w:tab w:val="clear" w:pos="720"/>
          <w:tab w:val="num" w:pos="370"/>
        </w:tabs>
        <w:spacing w:line="233" w:lineRule="atLeast"/>
        <w:ind w:left="730"/>
        <w:rPr>
          <w:rFonts w:eastAsia="Times New Roman" w:cs="Arial"/>
          <w:b/>
          <w:color w:val="242424"/>
          <w:sz w:val="22"/>
          <w:szCs w:val="22"/>
        </w:rPr>
      </w:pPr>
      <w:r w:rsidRPr="00B949FE">
        <w:rPr>
          <w:rFonts w:eastAsia="Times New Roman" w:cs="Arial"/>
          <w:b/>
          <w:color w:val="242424"/>
          <w:sz w:val="22"/>
          <w:szCs w:val="22"/>
          <w:bdr w:val="none" w:sz="0" w:space="0" w:color="auto" w:frame="1"/>
        </w:rPr>
        <w:t>The names of the LLP;</w:t>
      </w:r>
    </w:p>
    <w:p w14:paraId="3E86E32E" w14:textId="77777777" w:rsidR="00B949FE" w:rsidRPr="00B949FE" w:rsidRDefault="00B949FE" w:rsidP="00B949FE">
      <w:pPr>
        <w:shd w:val="clear" w:color="auto" w:fill="FFFFFF"/>
        <w:spacing w:line="233" w:lineRule="atLeast"/>
        <w:ind w:left="730"/>
        <w:rPr>
          <w:rFonts w:eastAsia="Times New Roman" w:cs="Arial"/>
          <w:b/>
          <w:color w:val="242424"/>
          <w:sz w:val="22"/>
          <w:szCs w:val="22"/>
        </w:rPr>
      </w:pPr>
      <w:r w:rsidRPr="00B949FE">
        <w:rPr>
          <w:rFonts w:eastAsia="Times New Roman" w:cs="Arial"/>
          <w:b/>
          <w:color w:val="242424"/>
          <w:sz w:val="22"/>
          <w:szCs w:val="22"/>
          <w:bdr w:val="none" w:sz="0" w:space="0" w:color="auto" w:frame="1"/>
        </w:rPr>
        <w:t> </w:t>
      </w:r>
    </w:p>
    <w:p w14:paraId="57C6297C" w14:textId="77777777" w:rsidR="00B949FE" w:rsidRPr="00B949FE" w:rsidRDefault="00B949FE" w:rsidP="00B949FE">
      <w:pPr>
        <w:numPr>
          <w:ilvl w:val="0"/>
          <w:numId w:val="29"/>
        </w:numPr>
        <w:shd w:val="clear" w:color="auto" w:fill="FFFFFF"/>
        <w:tabs>
          <w:tab w:val="clear" w:pos="720"/>
          <w:tab w:val="num" w:pos="370"/>
        </w:tabs>
        <w:spacing w:line="233" w:lineRule="atLeast"/>
        <w:ind w:left="730"/>
        <w:rPr>
          <w:rFonts w:eastAsia="Times New Roman" w:cs="Arial"/>
          <w:b/>
          <w:color w:val="242424"/>
          <w:sz w:val="22"/>
          <w:szCs w:val="22"/>
        </w:rPr>
      </w:pPr>
      <w:r w:rsidRPr="00B949FE">
        <w:rPr>
          <w:rFonts w:eastAsia="Times New Roman" w:cs="Arial"/>
          <w:b/>
          <w:color w:val="242424"/>
          <w:sz w:val="22"/>
          <w:szCs w:val="22"/>
          <w:bdr w:val="none" w:sz="0" w:space="0" w:color="auto" w:frame="1"/>
        </w:rPr>
        <w:t>What services are involved (please list them if there are more than one);</w:t>
      </w:r>
    </w:p>
    <w:p w14:paraId="683268B7" w14:textId="77777777" w:rsidR="00B949FE" w:rsidRPr="00B949FE" w:rsidRDefault="00B949FE" w:rsidP="00B949FE">
      <w:pPr>
        <w:shd w:val="clear" w:color="auto" w:fill="FFFFFF"/>
        <w:spacing w:line="233" w:lineRule="atLeast"/>
        <w:ind w:left="730"/>
        <w:rPr>
          <w:rFonts w:eastAsia="Times New Roman" w:cs="Arial"/>
          <w:b/>
          <w:color w:val="242424"/>
          <w:sz w:val="22"/>
          <w:szCs w:val="22"/>
        </w:rPr>
      </w:pPr>
      <w:r w:rsidRPr="00B949FE">
        <w:rPr>
          <w:rFonts w:eastAsia="Times New Roman" w:cs="Arial"/>
          <w:b/>
          <w:color w:val="242424"/>
          <w:sz w:val="22"/>
          <w:szCs w:val="22"/>
          <w:bdr w:val="none" w:sz="0" w:space="0" w:color="auto" w:frame="1"/>
        </w:rPr>
        <w:t> </w:t>
      </w:r>
    </w:p>
    <w:p w14:paraId="70E8192E" w14:textId="77777777" w:rsidR="00B949FE" w:rsidRPr="00B949FE" w:rsidRDefault="00B949FE" w:rsidP="00B949FE">
      <w:pPr>
        <w:numPr>
          <w:ilvl w:val="0"/>
          <w:numId w:val="30"/>
        </w:numPr>
        <w:shd w:val="clear" w:color="auto" w:fill="FFFFFF"/>
        <w:tabs>
          <w:tab w:val="clear" w:pos="720"/>
          <w:tab w:val="num" w:pos="370"/>
        </w:tabs>
        <w:spacing w:line="233" w:lineRule="atLeast"/>
        <w:ind w:left="730"/>
        <w:rPr>
          <w:rFonts w:eastAsia="Times New Roman" w:cs="Arial"/>
          <w:b/>
          <w:color w:val="242424"/>
          <w:sz w:val="22"/>
          <w:szCs w:val="22"/>
        </w:rPr>
      </w:pPr>
      <w:r w:rsidRPr="00B949FE">
        <w:rPr>
          <w:rFonts w:eastAsia="Times New Roman" w:cs="Arial"/>
          <w:b/>
          <w:color w:val="242424"/>
          <w:sz w:val="22"/>
          <w:szCs w:val="22"/>
          <w:bdr w:val="none" w:sz="0" w:space="0" w:color="auto" w:frame="1"/>
        </w:rPr>
        <w:t>How much each contract with an LLP is valued at, or was when awarded;</w:t>
      </w:r>
    </w:p>
    <w:p w14:paraId="131AFEB6" w14:textId="77777777" w:rsidR="00B949FE" w:rsidRPr="00B949FE" w:rsidRDefault="00B949FE" w:rsidP="00B949FE">
      <w:pPr>
        <w:shd w:val="clear" w:color="auto" w:fill="FFFFFF"/>
        <w:spacing w:line="233" w:lineRule="atLeast"/>
        <w:ind w:left="730"/>
        <w:rPr>
          <w:rFonts w:eastAsia="Times New Roman" w:cs="Arial"/>
          <w:b/>
          <w:color w:val="242424"/>
          <w:sz w:val="22"/>
          <w:szCs w:val="22"/>
        </w:rPr>
      </w:pPr>
      <w:r w:rsidRPr="00B949FE">
        <w:rPr>
          <w:rFonts w:eastAsia="Times New Roman" w:cs="Arial"/>
          <w:b/>
          <w:color w:val="242424"/>
          <w:sz w:val="22"/>
          <w:szCs w:val="22"/>
          <w:bdr w:val="none" w:sz="0" w:space="0" w:color="auto" w:frame="1"/>
        </w:rPr>
        <w:t> </w:t>
      </w:r>
    </w:p>
    <w:p w14:paraId="0DAA4F7B" w14:textId="77777777" w:rsidR="00B949FE" w:rsidRPr="00B949FE" w:rsidRDefault="00B949FE" w:rsidP="00B949FE">
      <w:pPr>
        <w:numPr>
          <w:ilvl w:val="0"/>
          <w:numId w:val="31"/>
        </w:numPr>
        <w:shd w:val="clear" w:color="auto" w:fill="FFFFFF"/>
        <w:tabs>
          <w:tab w:val="clear" w:pos="720"/>
          <w:tab w:val="num" w:pos="370"/>
        </w:tabs>
        <w:spacing w:line="233" w:lineRule="atLeast"/>
        <w:ind w:left="730"/>
        <w:rPr>
          <w:rFonts w:eastAsia="Times New Roman" w:cs="Arial"/>
          <w:color w:val="242424"/>
          <w:sz w:val="22"/>
          <w:szCs w:val="22"/>
        </w:rPr>
      </w:pPr>
      <w:r w:rsidRPr="00B949FE">
        <w:rPr>
          <w:rFonts w:eastAsia="Times New Roman" w:cs="Arial"/>
          <w:b/>
          <w:color w:val="242424"/>
          <w:sz w:val="22"/>
          <w:szCs w:val="22"/>
          <w:bdr w:val="none" w:sz="0" w:space="0" w:color="auto" w:frame="1"/>
        </w:rPr>
        <w:t xml:space="preserve">When they were contracted out; and – </w:t>
      </w:r>
      <w:r w:rsidRPr="00B949FE">
        <w:rPr>
          <w:rFonts w:eastAsia="Times New Roman" w:cs="Arial"/>
          <w:color w:val="242424"/>
          <w:sz w:val="22"/>
          <w:szCs w:val="22"/>
          <w:bdr w:val="none" w:sz="0" w:space="0" w:color="auto" w:frame="1"/>
        </w:rPr>
        <w:t>Exempt under Section 43*</w:t>
      </w:r>
    </w:p>
    <w:p w14:paraId="59B7E079" w14:textId="77777777" w:rsidR="00B949FE" w:rsidRPr="00B949FE" w:rsidRDefault="00B949FE" w:rsidP="00B949FE">
      <w:pPr>
        <w:shd w:val="clear" w:color="auto" w:fill="FFFFFF"/>
        <w:spacing w:line="233" w:lineRule="atLeast"/>
        <w:ind w:left="730"/>
        <w:rPr>
          <w:rFonts w:eastAsia="Times New Roman" w:cs="Arial"/>
          <w:b/>
          <w:color w:val="242424"/>
          <w:sz w:val="22"/>
          <w:szCs w:val="22"/>
        </w:rPr>
      </w:pPr>
      <w:r w:rsidRPr="00B949FE">
        <w:rPr>
          <w:rFonts w:eastAsia="Times New Roman" w:cs="Arial"/>
          <w:b/>
          <w:color w:val="242424"/>
          <w:sz w:val="22"/>
          <w:szCs w:val="22"/>
          <w:bdr w:val="none" w:sz="0" w:space="0" w:color="auto" w:frame="1"/>
        </w:rPr>
        <w:t> </w:t>
      </w:r>
    </w:p>
    <w:p w14:paraId="7E2B6409" w14:textId="77777777" w:rsidR="00B949FE" w:rsidRPr="00B949FE" w:rsidRDefault="00B949FE" w:rsidP="00B949FE">
      <w:pPr>
        <w:numPr>
          <w:ilvl w:val="0"/>
          <w:numId w:val="32"/>
        </w:numPr>
        <w:shd w:val="clear" w:color="auto" w:fill="FFFFFF"/>
        <w:tabs>
          <w:tab w:val="clear" w:pos="720"/>
          <w:tab w:val="num" w:pos="370"/>
        </w:tabs>
        <w:spacing w:line="233" w:lineRule="atLeast"/>
        <w:ind w:left="730"/>
        <w:rPr>
          <w:rFonts w:eastAsia="Times New Roman" w:cs="Arial"/>
          <w:b/>
          <w:color w:val="242424"/>
          <w:sz w:val="22"/>
          <w:szCs w:val="22"/>
        </w:rPr>
      </w:pPr>
      <w:r w:rsidRPr="00B949FE">
        <w:rPr>
          <w:rFonts w:eastAsia="Times New Roman" w:cs="Arial"/>
          <w:b/>
          <w:color w:val="242424"/>
          <w:sz w:val="22"/>
          <w:szCs w:val="22"/>
          <w:bdr w:val="none" w:sz="0" w:space="0" w:color="auto" w:frame="1"/>
        </w:rPr>
        <w:t>When they are due to end (if they are continuous then please clarify this)?</w:t>
      </w:r>
    </w:p>
    <w:p w14:paraId="61A9A48E" w14:textId="77777777" w:rsidR="00B949FE" w:rsidRPr="00B949FE" w:rsidRDefault="00B949FE" w:rsidP="00B949FE">
      <w:pPr>
        <w:shd w:val="clear" w:color="auto" w:fill="FFFFFF"/>
        <w:spacing w:line="233" w:lineRule="atLeast"/>
        <w:ind w:left="730"/>
        <w:rPr>
          <w:rFonts w:eastAsia="Times New Roman" w:cs="Arial"/>
          <w:b/>
          <w:color w:val="242424"/>
          <w:sz w:val="22"/>
          <w:szCs w:val="22"/>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3988"/>
        <w:gridCol w:w="1574"/>
      </w:tblGrid>
      <w:tr w:rsidR="00B949FE" w:rsidRPr="00B949FE" w14:paraId="0A25001A" w14:textId="77777777" w:rsidTr="00B949FE">
        <w:trPr>
          <w:trHeight w:val="300"/>
        </w:trPr>
        <w:tc>
          <w:tcPr>
            <w:tcW w:w="0" w:type="auto"/>
            <w:shd w:val="clear" w:color="5B9BD5" w:fill="5B9BD5"/>
            <w:noWrap/>
            <w:vAlign w:val="bottom"/>
            <w:hideMark/>
          </w:tcPr>
          <w:p w14:paraId="53A0CE4C" w14:textId="77777777" w:rsidR="00B949FE" w:rsidRPr="00B949FE" w:rsidRDefault="00B949FE" w:rsidP="00B949FE">
            <w:pPr>
              <w:rPr>
                <w:rFonts w:eastAsia="Times New Roman" w:cs="Arial"/>
                <w:b/>
                <w:bCs/>
                <w:color w:val="FFFFFF"/>
                <w:lang w:eastAsia="en-GB"/>
              </w:rPr>
            </w:pPr>
            <w:r w:rsidRPr="00B949FE">
              <w:rPr>
                <w:rFonts w:eastAsia="Times New Roman" w:cs="Arial"/>
                <w:b/>
                <w:bCs/>
                <w:color w:val="FFFFFF"/>
                <w:lang w:eastAsia="en-GB"/>
              </w:rPr>
              <w:t>Services</w:t>
            </w:r>
          </w:p>
        </w:tc>
        <w:tc>
          <w:tcPr>
            <w:tcW w:w="0" w:type="auto"/>
            <w:shd w:val="clear" w:color="5B9BD5" w:fill="5B9BD5"/>
            <w:noWrap/>
            <w:vAlign w:val="bottom"/>
            <w:hideMark/>
          </w:tcPr>
          <w:p w14:paraId="5B172342" w14:textId="77777777" w:rsidR="00B949FE" w:rsidRPr="00B949FE" w:rsidRDefault="00B949FE" w:rsidP="00B949FE">
            <w:pPr>
              <w:rPr>
                <w:rFonts w:eastAsia="Times New Roman" w:cs="Arial"/>
                <w:b/>
                <w:bCs/>
                <w:color w:val="FFFFFF"/>
                <w:lang w:eastAsia="en-GB"/>
              </w:rPr>
            </w:pPr>
            <w:r w:rsidRPr="00B949FE">
              <w:rPr>
                <w:rFonts w:eastAsia="Times New Roman" w:cs="Arial"/>
                <w:b/>
                <w:bCs/>
                <w:color w:val="FFFFFF"/>
                <w:lang w:eastAsia="en-GB"/>
              </w:rPr>
              <w:t>Contract Start Date</w:t>
            </w:r>
          </w:p>
        </w:tc>
        <w:tc>
          <w:tcPr>
            <w:tcW w:w="0" w:type="auto"/>
            <w:shd w:val="clear" w:color="5B9BD5" w:fill="5B9BD5"/>
            <w:noWrap/>
            <w:vAlign w:val="bottom"/>
            <w:hideMark/>
          </w:tcPr>
          <w:p w14:paraId="21B0792A" w14:textId="77777777" w:rsidR="00B949FE" w:rsidRPr="00B949FE" w:rsidRDefault="00B949FE" w:rsidP="00B949FE">
            <w:pPr>
              <w:rPr>
                <w:rFonts w:eastAsia="Times New Roman" w:cs="Arial"/>
                <w:b/>
                <w:bCs/>
                <w:color w:val="FFFFFF"/>
                <w:lang w:eastAsia="en-GB"/>
              </w:rPr>
            </w:pPr>
            <w:r w:rsidRPr="00B949FE">
              <w:rPr>
                <w:rFonts w:eastAsia="Times New Roman" w:cs="Arial"/>
                <w:b/>
                <w:bCs/>
                <w:color w:val="FFFFFF"/>
                <w:lang w:eastAsia="en-GB"/>
              </w:rPr>
              <w:t>Contract End Date</w:t>
            </w:r>
          </w:p>
        </w:tc>
      </w:tr>
      <w:tr w:rsidR="00B949FE" w:rsidRPr="00B949FE" w14:paraId="01BABF12" w14:textId="77777777" w:rsidTr="00B949FE">
        <w:trPr>
          <w:trHeight w:val="300"/>
        </w:trPr>
        <w:tc>
          <w:tcPr>
            <w:tcW w:w="0" w:type="auto"/>
            <w:shd w:val="clear" w:color="DDEBF7" w:fill="DDEBF7"/>
            <w:noWrap/>
            <w:vAlign w:val="bottom"/>
            <w:hideMark/>
          </w:tcPr>
          <w:p w14:paraId="48818FA1"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Surgical footwear/ disposable uniforms</w:t>
            </w:r>
          </w:p>
        </w:tc>
        <w:tc>
          <w:tcPr>
            <w:tcW w:w="0" w:type="auto"/>
            <w:shd w:val="clear" w:color="DDEBF7" w:fill="DDEBF7"/>
            <w:noWrap/>
            <w:vAlign w:val="bottom"/>
            <w:hideMark/>
          </w:tcPr>
          <w:p w14:paraId="2D6FF772"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Ad Hoc ordering via NHSSC Framework - NF002341</w:t>
            </w:r>
          </w:p>
        </w:tc>
        <w:tc>
          <w:tcPr>
            <w:tcW w:w="0" w:type="auto"/>
            <w:shd w:val="clear" w:color="DDEBF7" w:fill="DDEBF7"/>
            <w:noWrap/>
            <w:vAlign w:val="bottom"/>
            <w:hideMark/>
          </w:tcPr>
          <w:p w14:paraId="3B748FBB" w14:textId="77777777" w:rsidR="00B949FE" w:rsidRPr="00B949FE" w:rsidRDefault="00B949FE" w:rsidP="00B949FE">
            <w:pPr>
              <w:rPr>
                <w:rFonts w:eastAsia="Times New Roman" w:cs="Arial"/>
                <w:color w:val="000000"/>
                <w:lang w:eastAsia="en-GB"/>
              </w:rPr>
            </w:pPr>
          </w:p>
        </w:tc>
      </w:tr>
      <w:tr w:rsidR="00B949FE" w:rsidRPr="00B949FE" w14:paraId="34A0228B" w14:textId="77777777" w:rsidTr="00B949FE">
        <w:trPr>
          <w:trHeight w:val="300"/>
        </w:trPr>
        <w:tc>
          <w:tcPr>
            <w:tcW w:w="0" w:type="auto"/>
            <w:shd w:val="clear" w:color="auto" w:fill="auto"/>
            <w:noWrap/>
            <w:vAlign w:val="bottom"/>
            <w:hideMark/>
          </w:tcPr>
          <w:p w14:paraId="7440C99D"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M&amp;E Consultancy Services across a couple of schemes</w:t>
            </w:r>
          </w:p>
        </w:tc>
        <w:tc>
          <w:tcPr>
            <w:tcW w:w="0" w:type="auto"/>
            <w:shd w:val="clear" w:color="auto" w:fill="auto"/>
            <w:noWrap/>
            <w:vAlign w:val="bottom"/>
            <w:hideMark/>
          </w:tcPr>
          <w:p w14:paraId="74836F17"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Ad Hoc via SBS Framework - Last PO dated Dec 2022</w:t>
            </w:r>
          </w:p>
        </w:tc>
        <w:tc>
          <w:tcPr>
            <w:tcW w:w="0" w:type="auto"/>
            <w:shd w:val="clear" w:color="auto" w:fill="auto"/>
            <w:noWrap/>
            <w:vAlign w:val="bottom"/>
            <w:hideMark/>
          </w:tcPr>
          <w:p w14:paraId="7149BB37" w14:textId="77777777" w:rsidR="00B949FE" w:rsidRPr="00B949FE" w:rsidRDefault="00B949FE" w:rsidP="00B949FE">
            <w:pPr>
              <w:rPr>
                <w:rFonts w:eastAsia="Times New Roman" w:cs="Arial"/>
                <w:color w:val="000000"/>
                <w:lang w:eastAsia="en-GB"/>
              </w:rPr>
            </w:pPr>
          </w:p>
        </w:tc>
      </w:tr>
      <w:tr w:rsidR="00B949FE" w:rsidRPr="00B949FE" w14:paraId="04BBF4E1" w14:textId="77777777" w:rsidTr="00B949FE">
        <w:trPr>
          <w:trHeight w:val="300"/>
        </w:trPr>
        <w:tc>
          <w:tcPr>
            <w:tcW w:w="0" w:type="auto"/>
            <w:shd w:val="clear" w:color="DDEBF7" w:fill="DDEBF7"/>
            <w:noWrap/>
            <w:vAlign w:val="bottom"/>
            <w:hideMark/>
          </w:tcPr>
          <w:p w14:paraId="7E5A082F"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Ad hoc Legal advice relating to HR matters</w:t>
            </w:r>
          </w:p>
        </w:tc>
        <w:tc>
          <w:tcPr>
            <w:tcW w:w="0" w:type="auto"/>
            <w:shd w:val="clear" w:color="DDEBF7" w:fill="DDEBF7"/>
            <w:noWrap/>
            <w:vAlign w:val="bottom"/>
            <w:hideMark/>
          </w:tcPr>
          <w:p w14:paraId="5EF8DD2C"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Ad Hoc</w:t>
            </w:r>
          </w:p>
        </w:tc>
        <w:tc>
          <w:tcPr>
            <w:tcW w:w="0" w:type="auto"/>
            <w:shd w:val="clear" w:color="DDEBF7" w:fill="DDEBF7"/>
            <w:noWrap/>
            <w:vAlign w:val="bottom"/>
            <w:hideMark/>
          </w:tcPr>
          <w:p w14:paraId="0C49C29F" w14:textId="77777777" w:rsidR="00B949FE" w:rsidRPr="00B949FE" w:rsidRDefault="00B949FE" w:rsidP="00B949FE">
            <w:pPr>
              <w:rPr>
                <w:rFonts w:eastAsia="Times New Roman" w:cs="Arial"/>
                <w:color w:val="000000"/>
                <w:lang w:eastAsia="en-GB"/>
              </w:rPr>
            </w:pPr>
          </w:p>
        </w:tc>
      </w:tr>
      <w:tr w:rsidR="00B949FE" w:rsidRPr="00B949FE" w14:paraId="5AC60C9D" w14:textId="77777777" w:rsidTr="00B949FE">
        <w:trPr>
          <w:trHeight w:val="300"/>
        </w:trPr>
        <w:tc>
          <w:tcPr>
            <w:tcW w:w="0" w:type="auto"/>
            <w:shd w:val="clear" w:color="auto" w:fill="auto"/>
            <w:noWrap/>
            <w:vAlign w:val="bottom"/>
            <w:hideMark/>
          </w:tcPr>
          <w:p w14:paraId="39AE082C"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Ad hoc Printing &amp; Postage for governor elections</w:t>
            </w:r>
          </w:p>
        </w:tc>
        <w:tc>
          <w:tcPr>
            <w:tcW w:w="0" w:type="auto"/>
            <w:shd w:val="clear" w:color="auto" w:fill="auto"/>
            <w:noWrap/>
            <w:vAlign w:val="bottom"/>
            <w:hideMark/>
          </w:tcPr>
          <w:p w14:paraId="647C4ECF"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N/A - Value of spend does not require formal contract</w:t>
            </w:r>
          </w:p>
        </w:tc>
        <w:tc>
          <w:tcPr>
            <w:tcW w:w="0" w:type="auto"/>
            <w:shd w:val="clear" w:color="auto" w:fill="auto"/>
            <w:noWrap/>
            <w:vAlign w:val="bottom"/>
            <w:hideMark/>
          </w:tcPr>
          <w:p w14:paraId="0FE83857" w14:textId="77777777" w:rsidR="00B949FE" w:rsidRPr="00B949FE" w:rsidRDefault="00B949FE" w:rsidP="00B949FE">
            <w:pPr>
              <w:rPr>
                <w:rFonts w:eastAsia="Times New Roman" w:cs="Arial"/>
                <w:color w:val="000000"/>
                <w:lang w:eastAsia="en-GB"/>
              </w:rPr>
            </w:pPr>
          </w:p>
        </w:tc>
      </w:tr>
      <w:tr w:rsidR="00B949FE" w:rsidRPr="00B949FE" w14:paraId="26A7E726" w14:textId="77777777" w:rsidTr="00B949FE">
        <w:trPr>
          <w:trHeight w:val="300"/>
        </w:trPr>
        <w:tc>
          <w:tcPr>
            <w:tcW w:w="0" w:type="auto"/>
            <w:shd w:val="clear" w:color="DDEBF7" w:fill="DDEBF7"/>
            <w:noWrap/>
            <w:vAlign w:val="bottom"/>
            <w:hideMark/>
          </w:tcPr>
          <w:p w14:paraId="7ADEC6E9"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Pathology Patient Test Services</w:t>
            </w:r>
          </w:p>
        </w:tc>
        <w:tc>
          <w:tcPr>
            <w:tcW w:w="0" w:type="auto"/>
            <w:shd w:val="clear" w:color="DDEBF7" w:fill="DDEBF7"/>
            <w:noWrap/>
            <w:vAlign w:val="bottom"/>
            <w:hideMark/>
          </w:tcPr>
          <w:p w14:paraId="4F81DDB7"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Ad Hoc</w:t>
            </w:r>
          </w:p>
        </w:tc>
        <w:tc>
          <w:tcPr>
            <w:tcW w:w="0" w:type="auto"/>
            <w:shd w:val="clear" w:color="DDEBF7" w:fill="DDEBF7"/>
            <w:noWrap/>
            <w:vAlign w:val="bottom"/>
            <w:hideMark/>
          </w:tcPr>
          <w:p w14:paraId="4423A619" w14:textId="77777777" w:rsidR="00B949FE" w:rsidRPr="00B949FE" w:rsidRDefault="00B949FE" w:rsidP="00B949FE">
            <w:pPr>
              <w:rPr>
                <w:rFonts w:eastAsia="Times New Roman" w:cs="Arial"/>
                <w:color w:val="000000"/>
                <w:lang w:eastAsia="en-GB"/>
              </w:rPr>
            </w:pPr>
          </w:p>
        </w:tc>
      </w:tr>
      <w:tr w:rsidR="00B949FE" w:rsidRPr="00B949FE" w14:paraId="44B34F7A" w14:textId="77777777" w:rsidTr="00B949FE">
        <w:trPr>
          <w:trHeight w:val="300"/>
        </w:trPr>
        <w:tc>
          <w:tcPr>
            <w:tcW w:w="0" w:type="auto"/>
            <w:shd w:val="clear" w:color="auto" w:fill="auto"/>
            <w:noWrap/>
            <w:vAlign w:val="bottom"/>
            <w:hideMark/>
          </w:tcPr>
          <w:p w14:paraId="125B5D05"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Ad hoc valuations</w:t>
            </w:r>
          </w:p>
        </w:tc>
        <w:tc>
          <w:tcPr>
            <w:tcW w:w="0" w:type="auto"/>
            <w:shd w:val="clear" w:color="auto" w:fill="auto"/>
            <w:noWrap/>
            <w:vAlign w:val="bottom"/>
            <w:hideMark/>
          </w:tcPr>
          <w:p w14:paraId="560C55D7"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N/a - Ad hoc</w:t>
            </w:r>
          </w:p>
        </w:tc>
        <w:tc>
          <w:tcPr>
            <w:tcW w:w="0" w:type="auto"/>
            <w:shd w:val="clear" w:color="auto" w:fill="auto"/>
            <w:noWrap/>
            <w:vAlign w:val="bottom"/>
            <w:hideMark/>
          </w:tcPr>
          <w:p w14:paraId="32460ED2" w14:textId="77777777" w:rsidR="00B949FE" w:rsidRPr="00B949FE" w:rsidRDefault="00B949FE" w:rsidP="00B949FE">
            <w:pPr>
              <w:rPr>
                <w:rFonts w:eastAsia="Times New Roman" w:cs="Arial"/>
                <w:color w:val="000000"/>
                <w:lang w:eastAsia="en-GB"/>
              </w:rPr>
            </w:pPr>
          </w:p>
        </w:tc>
      </w:tr>
      <w:tr w:rsidR="00B949FE" w:rsidRPr="00B949FE" w14:paraId="0D9CD03E" w14:textId="77777777" w:rsidTr="00B949FE">
        <w:trPr>
          <w:trHeight w:val="300"/>
        </w:trPr>
        <w:tc>
          <w:tcPr>
            <w:tcW w:w="0" w:type="auto"/>
            <w:shd w:val="clear" w:color="DDEBF7" w:fill="DDEBF7"/>
            <w:noWrap/>
            <w:vAlign w:val="bottom"/>
            <w:hideMark/>
          </w:tcPr>
          <w:p w14:paraId="2DFCD636"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Pathology Patient Test Services</w:t>
            </w:r>
          </w:p>
        </w:tc>
        <w:tc>
          <w:tcPr>
            <w:tcW w:w="0" w:type="auto"/>
            <w:shd w:val="clear" w:color="DDEBF7" w:fill="DDEBF7"/>
            <w:noWrap/>
            <w:vAlign w:val="bottom"/>
            <w:hideMark/>
          </w:tcPr>
          <w:p w14:paraId="57B295C1"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Ad hoc</w:t>
            </w:r>
          </w:p>
        </w:tc>
        <w:tc>
          <w:tcPr>
            <w:tcW w:w="0" w:type="auto"/>
            <w:shd w:val="clear" w:color="DDEBF7" w:fill="DDEBF7"/>
            <w:noWrap/>
            <w:vAlign w:val="bottom"/>
            <w:hideMark/>
          </w:tcPr>
          <w:p w14:paraId="7927F988" w14:textId="77777777" w:rsidR="00B949FE" w:rsidRPr="00B949FE" w:rsidRDefault="00B949FE" w:rsidP="00B949FE">
            <w:pPr>
              <w:rPr>
                <w:rFonts w:eastAsia="Times New Roman" w:cs="Arial"/>
                <w:color w:val="000000"/>
                <w:lang w:eastAsia="en-GB"/>
              </w:rPr>
            </w:pPr>
          </w:p>
        </w:tc>
      </w:tr>
      <w:tr w:rsidR="00B949FE" w:rsidRPr="00B949FE" w14:paraId="6C696619" w14:textId="77777777" w:rsidTr="00B949FE">
        <w:trPr>
          <w:trHeight w:val="300"/>
        </w:trPr>
        <w:tc>
          <w:tcPr>
            <w:tcW w:w="0" w:type="auto"/>
            <w:shd w:val="clear" w:color="auto" w:fill="auto"/>
            <w:noWrap/>
            <w:vAlign w:val="bottom"/>
            <w:hideMark/>
          </w:tcPr>
          <w:p w14:paraId="53ED9B7C"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Charity legal advice (ad hoc)</w:t>
            </w:r>
          </w:p>
        </w:tc>
        <w:tc>
          <w:tcPr>
            <w:tcW w:w="0" w:type="auto"/>
            <w:shd w:val="clear" w:color="auto" w:fill="auto"/>
            <w:noWrap/>
            <w:vAlign w:val="bottom"/>
            <w:hideMark/>
          </w:tcPr>
          <w:p w14:paraId="5D72D064"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N/A - Value of spend does not require formal contract</w:t>
            </w:r>
          </w:p>
        </w:tc>
        <w:tc>
          <w:tcPr>
            <w:tcW w:w="0" w:type="auto"/>
            <w:shd w:val="clear" w:color="auto" w:fill="auto"/>
            <w:noWrap/>
            <w:vAlign w:val="bottom"/>
            <w:hideMark/>
          </w:tcPr>
          <w:p w14:paraId="18B17F32" w14:textId="77777777" w:rsidR="00B949FE" w:rsidRPr="00B949FE" w:rsidRDefault="00B949FE" w:rsidP="00B949FE">
            <w:pPr>
              <w:rPr>
                <w:rFonts w:eastAsia="Times New Roman" w:cs="Arial"/>
                <w:color w:val="000000"/>
                <w:lang w:eastAsia="en-GB"/>
              </w:rPr>
            </w:pPr>
          </w:p>
        </w:tc>
      </w:tr>
      <w:tr w:rsidR="00B949FE" w:rsidRPr="00B949FE" w14:paraId="408AD39B" w14:textId="77777777" w:rsidTr="00B949FE">
        <w:trPr>
          <w:trHeight w:val="300"/>
        </w:trPr>
        <w:tc>
          <w:tcPr>
            <w:tcW w:w="0" w:type="auto"/>
            <w:shd w:val="clear" w:color="DDEBF7" w:fill="DDEBF7"/>
            <w:noWrap/>
            <w:vAlign w:val="bottom"/>
            <w:hideMark/>
          </w:tcPr>
          <w:p w14:paraId="227EAB1F"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Legal fees in respect of capital schemes</w:t>
            </w:r>
          </w:p>
        </w:tc>
        <w:tc>
          <w:tcPr>
            <w:tcW w:w="0" w:type="auto"/>
            <w:shd w:val="clear" w:color="DDEBF7" w:fill="DDEBF7"/>
            <w:noWrap/>
            <w:vAlign w:val="bottom"/>
            <w:hideMark/>
          </w:tcPr>
          <w:p w14:paraId="7077763C"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N/A - Value of spend does not require formal contract</w:t>
            </w:r>
          </w:p>
        </w:tc>
        <w:tc>
          <w:tcPr>
            <w:tcW w:w="0" w:type="auto"/>
            <w:shd w:val="clear" w:color="DDEBF7" w:fill="DDEBF7"/>
            <w:noWrap/>
            <w:vAlign w:val="bottom"/>
            <w:hideMark/>
          </w:tcPr>
          <w:p w14:paraId="31FFE1EB" w14:textId="77777777" w:rsidR="00B949FE" w:rsidRPr="00B949FE" w:rsidRDefault="00B949FE" w:rsidP="00B949FE">
            <w:pPr>
              <w:rPr>
                <w:rFonts w:eastAsia="Times New Roman" w:cs="Arial"/>
                <w:color w:val="000000"/>
                <w:lang w:eastAsia="en-GB"/>
              </w:rPr>
            </w:pPr>
          </w:p>
        </w:tc>
      </w:tr>
      <w:tr w:rsidR="00B949FE" w:rsidRPr="00B949FE" w14:paraId="799AF559" w14:textId="77777777" w:rsidTr="00B949FE">
        <w:trPr>
          <w:trHeight w:val="300"/>
        </w:trPr>
        <w:tc>
          <w:tcPr>
            <w:tcW w:w="0" w:type="auto"/>
            <w:shd w:val="clear" w:color="auto" w:fill="auto"/>
            <w:noWrap/>
            <w:vAlign w:val="bottom"/>
            <w:hideMark/>
          </w:tcPr>
          <w:p w14:paraId="28E4B5FB"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Internal Audit &amp; Counter Fraud Contract</w:t>
            </w:r>
          </w:p>
        </w:tc>
        <w:tc>
          <w:tcPr>
            <w:tcW w:w="0" w:type="auto"/>
            <w:shd w:val="clear" w:color="auto" w:fill="auto"/>
            <w:noWrap/>
            <w:vAlign w:val="bottom"/>
            <w:hideMark/>
          </w:tcPr>
          <w:p w14:paraId="69261B66"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01/07/2021</w:t>
            </w:r>
          </w:p>
        </w:tc>
        <w:tc>
          <w:tcPr>
            <w:tcW w:w="0" w:type="auto"/>
            <w:shd w:val="clear" w:color="auto" w:fill="auto"/>
            <w:noWrap/>
            <w:vAlign w:val="bottom"/>
            <w:hideMark/>
          </w:tcPr>
          <w:p w14:paraId="75F60140"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31/03/2026</w:t>
            </w:r>
          </w:p>
        </w:tc>
      </w:tr>
      <w:tr w:rsidR="00B949FE" w:rsidRPr="00B949FE" w14:paraId="29CD5FED" w14:textId="77777777" w:rsidTr="00B949FE">
        <w:trPr>
          <w:trHeight w:val="300"/>
        </w:trPr>
        <w:tc>
          <w:tcPr>
            <w:tcW w:w="0" w:type="auto"/>
            <w:shd w:val="clear" w:color="DDEBF7" w:fill="DDEBF7"/>
            <w:noWrap/>
            <w:vAlign w:val="bottom"/>
            <w:hideMark/>
          </w:tcPr>
          <w:p w14:paraId="48C35656"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Legal fees in respect of capital schemes</w:t>
            </w:r>
          </w:p>
        </w:tc>
        <w:tc>
          <w:tcPr>
            <w:tcW w:w="0" w:type="auto"/>
            <w:shd w:val="clear" w:color="DDEBF7" w:fill="DDEBF7"/>
            <w:noWrap/>
            <w:vAlign w:val="bottom"/>
            <w:hideMark/>
          </w:tcPr>
          <w:p w14:paraId="08D3F697" w14:textId="77777777" w:rsidR="00B949FE" w:rsidRPr="00B949FE" w:rsidRDefault="00B949FE" w:rsidP="00B949FE">
            <w:pPr>
              <w:rPr>
                <w:rFonts w:eastAsia="Times New Roman" w:cs="Arial"/>
                <w:color w:val="000000"/>
                <w:lang w:eastAsia="en-GB"/>
              </w:rPr>
            </w:pPr>
            <w:r w:rsidRPr="00B949FE">
              <w:rPr>
                <w:rFonts w:eastAsia="Times New Roman" w:cs="Arial"/>
                <w:color w:val="000000"/>
                <w:lang w:eastAsia="en-GB"/>
              </w:rPr>
              <w:t>N/A - Value of spend does not require formal contract</w:t>
            </w:r>
          </w:p>
        </w:tc>
        <w:tc>
          <w:tcPr>
            <w:tcW w:w="0" w:type="auto"/>
            <w:shd w:val="clear" w:color="DDEBF7" w:fill="DDEBF7"/>
            <w:noWrap/>
            <w:vAlign w:val="bottom"/>
            <w:hideMark/>
          </w:tcPr>
          <w:p w14:paraId="46A7AE0F" w14:textId="77777777" w:rsidR="00B949FE" w:rsidRPr="00B949FE" w:rsidRDefault="00B949FE" w:rsidP="00B949FE">
            <w:pPr>
              <w:rPr>
                <w:rFonts w:eastAsia="Times New Roman" w:cs="Arial"/>
                <w:color w:val="000000"/>
                <w:lang w:eastAsia="en-GB"/>
              </w:rPr>
            </w:pPr>
          </w:p>
        </w:tc>
      </w:tr>
    </w:tbl>
    <w:p w14:paraId="62602940" w14:textId="5172709A" w:rsidR="0005715B" w:rsidRDefault="0005715B" w:rsidP="00B949FE">
      <w:pPr>
        <w:pStyle w:val="Header2"/>
        <w:numPr>
          <w:ilvl w:val="0"/>
          <w:numId w:val="0"/>
        </w:numPr>
      </w:pPr>
    </w:p>
    <w:p w14:paraId="25DD0720" w14:textId="77777777" w:rsidR="009719C0" w:rsidRPr="00B949FE" w:rsidRDefault="009719C0" w:rsidP="009719C0">
      <w:pPr>
        <w:pStyle w:val="BodyCopy"/>
        <w:rPr>
          <w:sz w:val="20"/>
          <w:szCs w:val="20"/>
        </w:rPr>
      </w:pPr>
      <w:r w:rsidRPr="00B949FE">
        <w:rPr>
          <w:sz w:val="20"/>
          <w:szCs w:val="20"/>
        </w:rPr>
        <w:lastRenderedPageBreak/>
        <w:t xml:space="preserve">This information </w:t>
      </w:r>
      <w:proofErr w:type="gramStart"/>
      <w:r w:rsidRPr="00B949FE">
        <w:rPr>
          <w:sz w:val="20"/>
          <w:szCs w:val="20"/>
        </w:rPr>
        <w:t>is provided</w:t>
      </w:r>
      <w:proofErr w:type="gramEnd"/>
      <w:r w:rsidRPr="00B949FE">
        <w:rPr>
          <w:sz w:val="20"/>
          <w:szCs w:val="20"/>
        </w:rP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B949FE" w:rsidRDefault="009719C0" w:rsidP="009719C0">
      <w:pPr>
        <w:pStyle w:val="BodyCopy"/>
        <w:rPr>
          <w:sz w:val="20"/>
          <w:szCs w:val="20"/>
        </w:rPr>
      </w:pPr>
      <w:r w:rsidRPr="00B949FE">
        <w:rPr>
          <w:sz w:val="20"/>
          <w:szCs w:val="20"/>
        </w:rPr>
        <w:t xml:space="preserve"> Please note that the Trust has a formal internal review and complaints </w:t>
      </w:r>
      <w:proofErr w:type="gramStart"/>
      <w:r w:rsidRPr="00B949FE">
        <w:rPr>
          <w:sz w:val="20"/>
          <w:szCs w:val="20"/>
        </w:rPr>
        <w:t>process which</w:t>
      </w:r>
      <w:proofErr w:type="gramEnd"/>
      <w:r w:rsidRPr="00B949FE">
        <w:rPr>
          <w:sz w:val="20"/>
          <w:szCs w:val="20"/>
        </w:rPr>
        <w:t xml:space="preserve">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rsidRPr="00B949FE">
        <w:rPr>
          <w:sz w:val="20"/>
          <w:szCs w:val="20"/>
        </w:rPr>
        <w:t>to:</w:t>
      </w:r>
      <w:proofErr w:type="gramEnd"/>
      <w:r w:rsidRPr="00B949FE">
        <w:rPr>
          <w:sz w:val="20"/>
          <w:szCs w:val="20"/>
        </w:rPr>
        <w:t xml:space="preserve"> dataprotectionofficer@ldh.nhs.uk. This option is available to you for up to three calendar months from the date your response </w:t>
      </w:r>
      <w:proofErr w:type="gramStart"/>
      <w:r w:rsidRPr="00B949FE">
        <w:rPr>
          <w:sz w:val="20"/>
          <w:szCs w:val="20"/>
        </w:rPr>
        <w:t>was issued</w:t>
      </w:r>
      <w:proofErr w:type="gramEnd"/>
      <w:r w:rsidRPr="00B949FE">
        <w:rPr>
          <w:sz w:val="20"/>
          <w:szCs w:val="20"/>
        </w:rPr>
        <w:t xml:space="preserve">. </w:t>
      </w:r>
      <w:bookmarkStart w:id="0" w:name="_GoBack"/>
      <w:bookmarkEnd w:id="0"/>
    </w:p>
    <w:p w14:paraId="5431B1EA" w14:textId="77777777" w:rsidR="009719C0" w:rsidRPr="00B949FE" w:rsidRDefault="009719C0" w:rsidP="009719C0">
      <w:pPr>
        <w:pStyle w:val="BodyCopy"/>
        <w:rPr>
          <w:sz w:val="20"/>
          <w:szCs w:val="20"/>
        </w:rPr>
      </w:pPr>
      <w:r w:rsidRPr="00B949FE">
        <w:rPr>
          <w:sz w:val="20"/>
          <w:szCs w:val="20"/>
        </w:rPr>
        <w:t xml:space="preserve">If you are not satisfied with the Trust review under the Freedom of Information Act </w:t>
      </w:r>
      <w:proofErr w:type="gramStart"/>
      <w:r w:rsidRPr="00B949FE">
        <w:rPr>
          <w:sz w:val="20"/>
          <w:szCs w:val="20"/>
        </w:rPr>
        <w:t>2000</w:t>
      </w:r>
      <w:proofErr w:type="gramEnd"/>
      <w:r w:rsidRPr="00B949FE">
        <w:rPr>
          <w:sz w:val="20"/>
          <w:szCs w:val="20"/>
        </w:rPr>
        <w:t xml:space="preserve"> you may apply directly to the Information Commissioners Officer (ICO) for a review of your appeal decision. The ICO can be contacted </w:t>
      </w:r>
      <w:proofErr w:type="gramStart"/>
      <w:r w:rsidRPr="00B949FE">
        <w:rPr>
          <w:sz w:val="20"/>
          <w:szCs w:val="20"/>
        </w:rPr>
        <w:t>at:</w:t>
      </w:r>
      <w:proofErr w:type="gramEnd"/>
      <w:r w:rsidRPr="00B949FE">
        <w:rPr>
          <w:sz w:val="20"/>
          <w:szCs w:val="20"/>
        </w:rPr>
        <w:t xml:space="preserve">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02922"/>
    <w:multiLevelType w:val="multilevel"/>
    <w:tmpl w:val="8E44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7618F"/>
    <w:multiLevelType w:val="multilevel"/>
    <w:tmpl w:val="D338900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0D05678"/>
    <w:multiLevelType w:val="multilevel"/>
    <w:tmpl w:val="FE408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5554E9"/>
    <w:multiLevelType w:val="multilevel"/>
    <w:tmpl w:val="5B0C5E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94E6DEF"/>
    <w:multiLevelType w:val="multilevel"/>
    <w:tmpl w:val="597657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75AF3"/>
    <w:multiLevelType w:val="multilevel"/>
    <w:tmpl w:val="CCCAE4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343F3"/>
    <w:multiLevelType w:val="multilevel"/>
    <w:tmpl w:val="FF18F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30"/>
  </w:num>
  <w:num w:numId="13">
    <w:abstractNumId w:val="28"/>
  </w:num>
  <w:num w:numId="14">
    <w:abstractNumId w:val="18"/>
  </w:num>
  <w:num w:numId="15">
    <w:abstractNumId w:val="26"/>
  </w:num>
  <w:num w:numId="16">
    <w:abstractNumId w:val="12"/>
  </w:num>
  <w:num w:numId="17">
    <w:abstractNumId w:val="17"/>
  </w:num>
  <w:num w:numId="18">
    <w:abstractNumId w:val="25"/>
  </w:num>
  <w:num w:numId="19">
    <w:abstractNumId w:val="11"/>
  </w:num>
  <w:num w:numId="20">
    <w:abstractNumId w:val="24"/>
  </w:num>
  <w:num w:numId="21">
    <w:abstractNumId w:val="13"/>
  </w:num>
  <w:num w:numId="22">
    <w:abstractNumId w:val="20"/>
  </w:num>
  <w:num w:numId="23">
    <w:abstractNumId w:val="22"/>
  </w:num>
  <w:num w:numId="24">
    <w:abstractNumId w:val="21"/>
  </w:num>
  <w:num w:numId="25">
    <w:abstractNumId w:val="31"/>
  </w:num>
  <w:num w:numId="26">
    <w:abstractNumId w:val="10"/>
  </w:num>
  <w:num w:numId="27">
    <w:abstractNumId w:val="16"/>
  </w:num>
  <w:num w:numId="28">
    <w:abstractNumId w:val="29"/>
  </w:num>
  <w:num w:numId="29">
    <w:abstractNumId w:val="19"/>
  </w:num>
  <w:num w:numId="30">
    <w:abstractNumId w:val="27"/>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949FE"/>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434983368">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6F39-4B46-44A4-ACD2-EC418808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2023-07-04T15:43:00Z</dcterms:created>
  <dcterms:modified xsi:type="dcterms:W3CDTF">2023-07-04T15:43:00Z</dcterms:modified>
</cp:coreProperties>
</file>