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BC0FBE1" w:rsidR="00BC08C6" w:rsidRPr="00F21541" w:rsidRDefault="00BC08C6" w:rsidP="00F21541">
      <w:pPr>
        <w:pStyle w:val="Header1"/>
      </w:pPr>
      <w:r w:rsidRPr="00F21541">
        <w:t xml:space="preserve">FOI </w:t>
      </w:r>
      <w:r w:rsidR="00D9158B">
        <w:t>1900</w:t>
      </w:r>
    </w:p>
    <w:p w14:paraId="03EDF20E" w14:textId="41E62B70" w:rsidR="009719C0" w:rsidRDefault="009719C0" w:rsidP="009719C0">
      <w:pPr>
        <w:pStyle w:val="BodyCopy"/>
      </w:pPr>
      <w:r>
        <w:t>Date</w:t>
      </w:r>
      <w:r w:rsidR="00D9158B">
        <w:t xml:space="preserve"> 24/01/2023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7F6FE981" w14:textId="2CBCCF37" w:rsidR="00D9158B" w:rsidRDefault="00BC08C6" w:rsidP="00E652A3">
      <w:pPr>
        <w:pStyle w:val="BodyCopy"/>
      </w:pPr>
      <w:r>
        <w:t>You asked:</w:t>
      </w:r>
    </w:p>
    <w:tbl>
      <w:tblPr>
        <w:tblpPr w:leftFromText="180" w:rightFromText="180" w:vertAnchor="text" w:horzAnchor="margin" w:tblpXSpec="center" w:tblpY="256"/>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1560"/>
        <w:gridCol w:w="992"/>
        <w:gridCol w:w="2588"/>
      </w:tblGrid>
      <w:tr w:rsidR="00D9158B" w:rsidRPr="00514F1A" w14:paraId="41FA8D9C" w14:textId="77777777" w:rsidTr="001C194B">
        <w:trPr>
          <w:trHeight w:val="215"/>
        </w:trPr>
        <w:tc>
          <w:tcPr>
            <w:tcW w:w="3392" w:type="dxa"/>
            <w:shd w:val="clear" w:color="auto" w:fill="DDEBF7"/>
            <w:noWrap/>
            <w:tcMar>
              <w:top w:w="0" w:type="dxa"/>
              <w:left w:w="108" w:type="dxa"/>
              <w:bottom w:w="0" w:type="dxa"/>
              <w:right w:w="108" w:type="dxa"/>
            </w:tcMar>
            <w:vAlign w:val="center"/>
            <w:hideMark/>
          </w:tcPr>
          <w:p w14:paraId="38088448" w14:textId="77777777" w:rsidR="00D9158B" w:rsidRPr="00514F1A" w:rsidRDefault="00D9158B" w:rsidP="001C194B">
            <w:pPr>
              <w:rPr>
                <w:rFonts w:eastAsia="Times New Roman"/>
              </w:rPr>
            </w:pPr>
            <w:r w:rsidRPr="00514F1A">
              <w:rPr>
                <w:rFonts w:eastAsia="Times New Roman" w:cs="Arial"/>
                <w:b/>
                <w:bCs/>
                <w:sz w:val="16"/>
                <w:szCs w:val="16"/>
                <w:bdr w:val="none" w:sz="0" w:space="0" w:color="auto" w:frame="1"/>
              </w:rPr>
              <w:t>Request FOI - 2022-1900</w:t>
            </w:r>
          </w:p>
        </w:tc>
        <w:tc>
          <w:tcPr>
            <w:tcW w:w="1560" w:type="dxa"/>
            <w:shd w:val="clear" w:color="auto" w:fill="DDEBF7"/>
            <w:noWrap/>
            <w:tcMar>
              <w:top w:w="0" w:type="dxa"/>
              <w:left w:w="108" w:type="dxa"/>
              <w:bottom w:w="0" w:type="dxa"/>
              <w:right w:w="108" w:type="dxa"/>
            </w:tcMar>
            <w:vAlign w:val="center"/>
            <w:hideMark/>
          </w:tcPr>
          <w:p w14:paraId="39C798BF" w14:textId="77777777" w:rsidR="00D9158B" w:rsidRPr="00514F1A" w:rsidRDefault="00D9158B" w:rsidP="001C194B">
            <w:pPr>
              <w:rPr>
                <w:rFonts w:eastAsia="Times New Roman"/>
              </w:rPr>
            </w:pPr>
            <w:r w:rsidRPr="00514F1A">
              <w:rPr>
                <w:rFonts w:eastAsia="Times New Roman" w:cs="Arial"/>
                <w:b/>
                <w:bCs/>
                <w:sz w:val="16"/>
                <w:szCs w:val="16"/>
                <w:bdr w:val="none" w:sz="0" w:space="0" w:color="auto" w:frame="1"/>
              </w:rPr>
              <w:t>FY</w:t>
            </w:r>
          </w:p>
        </w:tc>
        <w:tc>
          <w:tcPr>
            <w:tcW w:w="992" w:type="dxa"/>
            <w:shd w:val="clear" w:color="auto" w:fill="DDEBF7"/>
            <w:noWrap/>
            <w:tcMar>
              <w:top w:w="0" w:type="dxa"/>
              <w:left w:w="108" w:type="dxa"/>
              <w:bottom w:w="0" w:type="dxa"/>
              <w:right w:w="108" w:type="dxa"/>
            </w:tcMar>
            <w:vAlign w:val="center"/>
            <w:hideMark/>
          </w:tcPr>
          <w:p w14:paraId="393BA204" w14:textId="77777777" w:rsidR="00D9158B" w:rsidRPr="00514F1A" w:rsidRDefault="00D9158B" w:rsidP="001C194B">
            <w:pPr>
              <w:jc w:val="center"/>
              <w:rPr>
                <w:rFonts w:eastAsia="Times New Roman"/>
              </w:rPr>
            </w:pPr>
            <w:r w:rsidRPr="00514F1A">
              <w:rPr>
                <w:rFonts w:eastAsia="Times New Roman" w:cs="Arial"/>
                <w:b/>
                <w:bCs/>
                <w:sz w:val="16"/>
                <w:szCs w:val="16"/>
                <w:bdr w:val="none" w:sz="0" w:space="0" w:color="auto" w:frame="1"/>
              </w:rPr>
              <w:t>Total</w:t>
            </w:r>
          </w:p>
        </w:tc>
        <w:tc>
          <w:tcPr>
            <w:tcW w:w="2588" w:type="dxa"/>
            <w:shd w:val="clear" w:color="auto" w:fill="FFFF00"/>
            <w:noWrap/>
            <w:tcMar>
              <w:top w:w="0" w:type="dxa"/>
              <w:left w:w="108" w:type="dxa"/>
              <w:bottom w:w="0" w:type="dxa"/>
              <w:right w:w="108" w:type="dxa"/>
            </w:tcMar>
            <w:vAlign w:val="center"/>
            <w:hideMark/>
          </w:tcPr>
          <w:p w14:paraId="3FC349FF" w14:textId="77777777" w:rsidR="00D9158B" w:rsidRPr="00514F1A" w:rsidRDefault="00D9158B" w:rsidP="001C194B">
            <w:pPr>
              <w:jc w:val="center"/>
              <w:rPr>
                <w:rFonts w:eastAsia="Times New Roman"/>
              </w:rPr>
            </w:pPr>
            <w:bookmarkStart w:id="0" w:name="_GoBack"/>
            <w:bookmarkEnd w:id="0"/>
            <w:r w:rsidRPr="00514F1A">
              <w:rPr>
                <w:rFonts w:eastAsia="Times New Roman" w:cs="Arial"/>
                <w:b/>
                <w:bCs/>
                <w:sz w:val="16"/>
                <w:szCs w:val="16"/>
                <w:bdr w:val="none" w:sz="0" w:space="0" w:color="auto" w:frame="1"/>
              </w:rPr>
              <w:t>Criteria</w:t>
            </w:r>
          </w:p>
        </w:tc>
      </w:tr>
      <w:tr w:rsidR="00D9158B" w:rsidRPr="00514F1A" w14:paraId="59187DEC" w14:textId="77777777" w:rsidTr="001C194B">
        <w:trPr>
          <w:trHeight w:val="215"/>
        </w:trPr>
        <w:tc>
          <w:tcPr>
            <w:tcW w:w="3392" w:type="dxa"/>
            <w:vMerge w:val="restart"/>
            <w:noWrap/>
            <w:tcMar>
              <w:top w:w="0" w:type="dxa"/>
              <w:left w:w="108" w:type="dxa"/>
              <w:bottom w:w="0" w:type="dxa"/>
              <w:right w:w="108" w:type="dxa"/>
            </w:tcMar>
            <w:vAlign w:val="center"/>
            <w:hideMark/>
          </w:tcPr>
          <w:p w14:paraId="44176892"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1. Number of days after discharge a patient was re-admitted. </w:t>
            </w:r>
          </w:p>
        </w:tc>
        <w:tc>
          <w:tcPr>
            <w:tcW w:w="1560" w:type="dxa"/>
            <w:noWrap/>
            <w:tcMar>
              <w:top w:w="0" w:type="dxa"/>
              <w:left w:w="108" w:type="dxa"/>
              <w:bottom w:w="0" w:type="dxa"/>
              <w:right w:w="108" w:type="dxa"/>
            </w:tcMar>
            <w:vAlign w:val="bottom"/>
            <w:hideMark/>
          </w:tcPr>
          <w:p w14:paraId="51138D24"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2018 – 2019 </w:t>
            </w:r>
          </w:p>
        </w:tc>
        <w:tc>
          <w:tcPr>
            <w:tcW w:w="992" w:type="dxa"/>
            <w:noWrap/>
            <w:tcMar>
              <w:top w:w="0" w:type="dxa"/>
              <w:left w:w="108" w:type="dxa"/>
              <w:bottom w:w="0" w:type="dxa"/>
              <w:right w:w="108" w:type="dxa"/>
            </w:tcMar>
            <w:vAlign w:val="bottom"/>
            <w:hideMark/>
          </w:tcPr>
          <w:p w14:paraId="761A91B1"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976</w:t>
            </w:r>
          </w:p>
        </w:tc>
        <w:tc>
          <w:tcPr>
            <w:tcW w:w="2588" w:type="dxa"/>
            <w:vMerge w:val="restart"/>
            <w:tcMar>
              <w:top w:w="0" w:type="dxa"/>
              <w:left w:w="108" w:type="dxa"/>
              <w:bottom w:w="0" w:type="dxa"/>
              <w:right w:w="108" w:type="dxa"/>
            </w:tcMar>
            <w:vAlign w:val="center"/>
            <w:hideMark/>
          </w:tcPr>
          <w:p w14:paraId="7454178D" w14:textId="77777777" w:rsidR="00D9158B" w:rsidRPr="00514F1A" w:rsidRDefault="00D9158B" w:rsidP="001C194B">
            <w:pPr>
              <w:jc w:val="center"/>
              <w:rPr>
                <w:rFonts w:eastAsia="Times New Roman"/>
              </w:rPr>
            </w:pPr>
            <w:r w:rsidRPr="00514F1A">
              <w:rPr>
                <w:rFonts w:eastAsia="Times New Roman" w:cs="Arial"/>
                <w:sz w:val="16"/>
                <w:szCs w:val="16"/>
                <w:bdr w:val="none" w:sz="0" w:space="0" w:color="auto" w:frame="1"/>
              </w:rPr>
              <w:t xml:space="preserve">Total days between discharge and emergency </w:t>
            </w:r>
            <w:proofErr w:type="spellStart"/>
            <w:r w:rsidRPr="00514F1A">
              <w:rPr>
                <w:rFonts w:eastAsia="Times New Roman" w:cs="Arial"/>
                <w:sz w:val="16"/>
                <w:szCs w:val="16"/>
                <w:bdr w:val="none" w:sz="0" w:space="0" w:color="auto" w:frame="1"/>
              </w:rPr>
              <w:t>readmisison</w:t>
            </w:r>
            <w:proofErr w:type="spellEnd"/>
            <w:r w:rsidRPr="00514F1A">
              <w:rPr>
                <w:rFonts w:eastAsia="Times New Roman" w:cs="Arial"/>
                <w:sz w:val="16"/>
                <w:szCs w:val="16"/>
                <w:bdr w:val="none" w:sz="0" w:space="0" w:color="auto" w:frame="1"/>
              </w:rPr>
              <w:t xml:space="preserve"> where discharging Treatment Function was Vascular Surgery (107)</w:t>
            </w:r>
          </w:p>
        </w:tc>
      </w:tr>
      <w:tr w:rsidR="00D9158B" w:rsidRPr="00514F1A" w14:paraId="421E2349" w14:textId="77777777" w:rsidTr="001C194B">
        <w:trPr>
          <w:trHeight w:val="215"/>
        </w:trPr>
        <w:tc>
          <w:tcPr>
            <w:tcW w:w="3392" w:type="dxa"/>
            <w:vMerge/>
            <w:vAlign w:val="center"/>
            <w:hideMark/>
          </w:tcPr>
          <w:p w14:paraId="1BA3B0C3"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71C0DD23"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2019 – 2020 </w:t>
            </w:r>
          </w:p>
        </w:tc>
        <w:tc>
          <w:tcPr>
            <w:tcW w:w="992" w:type="dxa"/>
            <w:noWrap/>
            <w:tcMar>
              <w:top w:w="0" w:type="dxa"/>
              <w:left w:w="108" w:type="dxa"/>
              <w:bottom w:w="0" w:type="dxa"/>
              <w:right w:w="108" w:type="dxa"/>
            </w:tcMar>
            <w:vAlign w:val="bottom"/>
            <w:hideMark/>
          </w:tcPr>
          <w:p w14:paraId="0EF07FAE"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1164</w:t>
            </w:r>
          </w:p>
        </w:tc>
        <w:tc>
          <w:tcPr>
            <w:tcW w:w="0" w:type="auto"/>
            <w:vMerge/>
            <w:vAlign w:val="center"/>
            <w:hideMark/>
          </w:tcPr>
          <w:p w14:paraId="3B5EE258" w14:textId="77777777" w:rsidR="00D9158B" w:rsidRPr="00514F1A" w:rsidRDefault="00D9158B" w:rsidP="001C194B">
            <w:pPr>
              <w:rPr>
                <w:rFonts w:eastAsia="Times New Roman"/>
              </w:rPr>
            </w:pPr>
          </w:p>
        </w:tc>
      </w:tr>
      <w:tr w:rsidR="00D9158B" w:rsidRPr="00514F1A" w14:paraId="20754B4C" w14:textId="77777777" w:rsidTr="001C194B">
        <w:trPr>
          <w:trHeight w:val="215"/>
        </w:trPr>
        <w:tc>
          <w:tcPr>
            <w:tcW w:w="3392" w:type="dxa"/>
            <w:vMerge/>
            <w:vAlign w:val="center"/>
            <w:hideMark/>
          </w:tcPr>
          <w:p w14:paraId="193C6EC7"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3E72982B"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2020 – 2021 </w:t>
            </w:r>
          </w:p>
        </w:tc>
        <w:tc>
          <w:tcPr>
            <w:tcW w:w="992" w:type="dxa"/>
            <w:noWrap/>
            <w:tcMar>
              <w:top w:w="0" w:type="dxa"/>
              <w:left w:w="108" w:type="dxa"/>
              <w:bottom w:w="0" w:type="dxa"/>
              <w:right w:w="108" w:type="dxa"/>
            </w:tcMar>
            <w:vAlign w:val="bottom"/>
            <w:hideMark/>
          </w:tcPr>
          <w:p w14:paraId="4D447539"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429</w:t>
            </w:r>
          </w:p>
        </w:tc>
        <w:tc>
          <w:tcPr>
            <w:tcW w:w="0" w:type="auto"/>
            <w:vMerge/>
            <w:vAlign w:val="center"/>
            <w:hideMark/>
          </w:tcPr>
          <w:p w14:paraId="5651F01C" w14:textId="77777777" w:rsidR="00D9158B" w:rsidRPr="00514F1A" w:rsidRDefault="00D9158B" w:rsidP="001C194B">
            <w:pPr>
              <w:rPr>
                <w:rFonts w:eastAsia="Times New Roman"/>
              </w:rPr>
            </w:pPr>
          </w:p>
        </w:tc>
      </w:tr>
      <w:tr w:rsidR="00D9158B" w:rsidRPr="00514F1A" w14:paraId="407E08B2" w14:textId="77777777" w:rsidTr="001C194B">
        <w:trPr>
          <w:trHeight w:val="215"/>
        </w:trPr>
        <w:tc>
          <w:tcPr>
            <w:tcW w:w="3392" w:type="dxa"/>
            <w:vMerge/>
            <w:vAlign w:val="center"/>
            <w:hideMark/>
          </w:tcPr>
          <w:p w14:paraId="4ED67661"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148843ED"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2021 – 2022</w:t>
            </w:r>
          </w:p>
        </w:tc>
        <w:tc>
          <w:tcPr>
            <w:tcW w:w="992" w:type="dxa"/>
            <w:noWrap/>
            <w:tcMar>
              <w:top w:w="0" w:type="dxa"/>
              <w:left w:w="108" w:type="dxa"/>
              <w:bottom w:w="0" w:type="dxa"/>
              <w:right w:w="108" w:type="dxa"/>
            </w:tcMar>
            <w:vAlign w:val="bottom"/>
            <w:hideMark/>
          </w:tcPr>
          <w:p w14:paraId="4AA2A906"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640</w:t>
            </w:r>
          </w:p>
        </w:tc>
        <w:tc>
          <w:tcPr>
            <w:tcW w:w="0" w:type="auto"/>
            <w:vMerge/>
            <w:vAlign w:val="center"/>
            <w:hideMark/>
          </w:tcPr>
          <w:p w14:paraId="5D3B216C" w14:textId="77777777" w:rsidR="00D9158B" w:rsidRPr="00514F1A" w:rsidRDefault="00D9158B" w:rsidP="001C194B">
            <w:pPr>
              <w:rPr>
                <w:rFonts w:eastAsia="Times New Roman"/>
              </w:rPr>
            </w:pPr>
          </w:p>
        </w:tc>
      </w:tr>
      <w:tr w:rsidR="00D9158B" w:rsidRPr="00514F1A" w14:paraId="78658E30" w14:textId="77777777" w:rsidTr="001C194B">
        <w:trPr>
          <w:trHeight w:val="215"/>
        </w:trPr>
        <w:tc>
          <w:tcPr>
            <w:tcW w:w="3392" w:type="dxa"/>
            <w:vMerge/>
            <w:vAlign w:val="center"/>
            <w:hideMark/>
          </w:tcPr>
          <w:p w14:paraId="3E20740C"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7E10D2F6"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2022 – Present </w:t>
            </w:r>
          </w:p>
        </w:tc>
        <w:tc>
          <w:tcPr>
            <w:tcW w:w="992" w:type="dxa"/>
            <w:noWrap/>
            <w:tcMar>
              <w:top w:w="0" w:type="dxa"/>
              <w:left w:w="108" w:type="dxa"/>
              <w:bottom w:w="0" w:type="dxa"/>
              <w:right w:w="108" w:type="dxa"/>
            </w:tcMar>
            <w:vAlign w:val="bottom"/>
            <w:hideMark/>
          </w:tcPr>
          <w:p w14:paraId="667A2911"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603</w:t>
            </w:r>
          </w:p>
        </w:tc>
        <w:tc>
          <w:tcPr>
            <w:tcW w:w="0" w:type="auto"/>
            <w:vMerge/>
            <w:vAlign w:val="center"/>
            <w:hideMark/>
          </w:tcPr>
          <w:p w14:paraId="77865B32" w14:textId="77777777" w:rsidR="00D9158B" w:rsidRPr="00514F1A" w:rsidRDefault="00D9158B" w:rsidP="001C194B">
            <w:pPr>
              <w:rPr>
                <w:rFonts w:eastAsia="Times New Roman"/>
              </w:rPr>
            </w:pPr>
          </w:p>
        </w:tc>
      </w:tr>
      <w:tr w:rsidR="00D9158B" w:rsidRPr="00514F1A" w14:paraId="764E25FA" w14:textId="77777777" w:rsidTr="001C194B">
        <w:trPr>
          <w:trHeight w:val="215"/>
        </w:trPr>
        <w:tc>
          <w:tcPr>
            <w:tcW w:w="3392" w:type="dxa"/>
            <w:vMerge w:val="restart"/>
            <w:noWrap/>
            <w:tcMar>
              <w:top w:w="0" w:type="dxa"/>
              <w:left w:w="108" w:type="dxa"/>
              <w:bottom w:w="0" w:type="dxa"/>
              <w:right w:w="108" w:type="dxa"/>
            </w:tcMar>
            <w:vAlign w:val="center"/>
            <w:hideMark/>
          </w:tcPr>
          <w:p w14:paraId="6B0CBF8C" w14:textId="77777777" w:rsidR="00D9158B" w:rsidRPr="00514F1A" w:rsidRDefault="00D9158B" w:rsidP="001C194B">
            <w:pPr>
              <w:rPr>
                <w:rFonts w:eastAsia="Times New Roman"/>
              </w:rPr>
            </w:pPr>
            <w:r>
              <w:rPr>
                <w:rFonts w:eastAsia="Times New Roman" w:cs="Arial"/>
                <w:sz w:val="16"/>
                <w:szCs w:val="16"/>
                <w:bdr w:val="none" w:sz="0" w:space="0" w:color="auto" w:frame="1"/>
              </w:rPr>
              <w:t>2 and 3</w:t>
            </w:r>
            <w:r w:rsidRPr="00514F1A">
              <w:rPr>
                <w:rFonts w:eastAsia="Times New Roman" w:cs="Arial"/>
                <w:sz w:val="16"/>
                <w:szCs w:val="16"/>
                <w:bdr w:val="none" w:sz="0" w:space="0" w:color="auto" w:frame="1"/>
              </w:rPr>
              <w:t>. Number of patients subject to emergency re-admission. </w:t>
            </w:r>
          </w:p>
        </w:tc>
        <w:tc>
          <w:tcPr>
            <w:tcW w:w="1560" w:type="dxa"/>
            <w:noWrap/>
            <w:tcMar>
              <w:top w:w="0" w:type="dxa"/>
              <w:left w:w="108" w:type="dxa"/>
              <w:bottom w:w="0" w:type="dxa"/>
              <w:right w:w="108" w:type="dxa"/>
            </w:tcMar>
            <w:vAlign w:val="bottom"/>
            <w:hideMark/>
          </w:tcPr>
          <w:p w14:paraId="631D3E4A"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2018 – 2019 </w:t>
            </w:r>
          </w:p>
        </w:tc>
        <w:tc>
          <w:tcPr>
            <w:tcW w:w="992" w:type="dxa"/>
            <w:noWrap/>
            <w:tcMar>
              <w:top w:w="0" w:type="dxa"/>
              <w:left w:w="108" w:type="dxa"/>
              <w:bottom w:w="0" w:type="dxa"/>
              <w:right w:w="108" w:type="dxa"/>
            </w:tcMar>
            <w:vAlign w:val="bottom"/>
            <w:hideMark/>
          </w:tcPr>
          <w:p w14:paraId="73EB9464"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94</w:t>
            </w:r>
          </w:p>
        </w:tc>
        <w:tc>
          <w:tcPr>
            <w:tcW w:w="2588" w:type="dxa"/>
            <w:vMerge w:val="restart"/>
            <w:tcMar>
              <w:top w:w="0" w:type="dxa"/>
              <w:left w:w="108" w:type="dxa"/>
              <w:bottom w:w="0" w:type="dxa"/>
              <w:right w:w="108" w:type="dxa"/>
            </w:tcMar>
            <w:vAlign w:val="center"/>
            <w:hideMark/>
          </w:tcPr>
          <w:p w14:paraId="2FA8B5AB" w14:textId="77777777" w:rsidR="00D9158B" w:rsidRPr="00514F1A" w:rsidRDefault="00D9158B" w:rsidP="001C194B">
            <w:pPr>
              <w:jc w:val="center"/>
              <w:rPr>
                <w:rFonts w:eastAsia="Times New Roman"/>
              </w:rPr>
            </w:pPr>
            <w:r w:rsidRPr="00514F1A">
              <w:rPr>
                <w:rFonts w:eastAsia="Times New Roman" w:cs="Arial"/>
                <w:sz w:val="16"/>
                <w:szCs w:val="16"/>
                <w:bdr w:val="none" w:sz="0" w:space="0" w:color="auto" w:frame="1"/>
              </w:rPr>
              <w:t xml:space="preserve">Number of patients in emergency </w:t>
            </w:r>
            <w:proofErr w:type="spellStart"/>
            <w:r w:rsidRPr="00514F1A">
              <w:rPr>
                <w:rFonts w:eastAsia="Times New Roman" w:cs="Arial"/>
                <w:sz w:val="16"/>
                <w:szCs w:val="16"/>
                <w:bdr w:val="none" w:sz="0" w:space="0" w:color="auto" w:frame="1"/>
              </w:rPr>
              <w:t>readmisisons</w:t>
            </w:r>
            <w:proofErr w:type="spellEnd"/>
            <w:r w:rsidRPr="00514F1A">
              <w:rPr>
                <w:rFonts w:eastAsia="Times New Roman" w:cs="Arial"/>
                <w:sz w:val="16"/>
                <w:szCs w:val="16"/>
                <w:bdr w:val="none" w:sz="0" w:space="0" w:color="auto" w:frame="1"/>
              </w:rPr>
              <w:t xml:space="preserve"> where discharging Treatment Function of previous spell was Vascular Surgery (107)</w:t>
            </w:r>
          </w:p>
        </w:tc>
      </w:tr>
      <w:tr w:rsidR="00D9158B" w:rsidRPr="00514F1A" w14:paraId="3708A55A" w14:textId="77777777" w:rsidTr="001C194B">
        <w:trPr>
          <w:trHeight w:val="215"/>
        </w:trPr>
        <w:tc>
          <w:tcPr>
            <w:tcW w:w="3392" w:type="dxa"/>
            <w:vMerge/>
            <w:vAlign w:val="center"/>
            <w:hideMark/>
          </w:tcPr>
          <w:p w14:paraId="2F13E540"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294EA4CA"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2019 – 2020 </w:t>
            </w:r>
          </w:p>
        </w:tc>
        <w:tc>
          <w:tcPr>
            <w:tcW w:w="992" w:type="dxa"/>
            <w:noWrap/>
            <w:tcMar>
              <w:top w:w="0" w:type="dxa"/>
              <w:left w:w="108" w:type="dxa"/>
              <w:bottom w:w="0" w:type="dxa"/>
              <w:right w:w="108" w:type="dxa"/>
            </w:tcMar>
            <w:vAlign w:val="bottom"/>
            <w:hideMark/>
          </w:tcPr>
          <w:p w14:paraId="4914995F"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94</w:t>
            </w:r>
          </w:p>
        </w:tc>
        <w:tc>
          <w:tcPr>
            <w:tcW w:w="0" w:type="auto"/>
            <w:vMerge/>
            <w:vAlign w:val="center"/>
            <w:hideMark/>
          </w:tcPr>
          <w:p w14:paraId="364CAFFF" w14:textId="77777777" w:rsidR="00D9158B" w:rsidRPr="00514F1A" w:rsidRDefault="00D9158B" w:rsidP="001C194B">
            <w:pPr>
              <w:rPr>
                <w:rFonts w:eastAsia="Times New Roman"/>
              </w:rPr>
            </w:pPr>
          </w:p>
        </w:tc>
      </w:tr>
      <w:tr w:rsidR="00D9158B" w:rsidRPr="00514F1A" w14:paraId="51516D9C" w14:textId="77777777" w:rsidTr="001C194B">
        <w:trPr>
          <w:trHeight w:val="215"/>
        </w:trPr>
        <w:tc>
          <w:tcPr>
            <w:tcW w:w="3392" w:type="dxa"/>
            <w:vMerge/>
            <w:vAlign w:val="center"/>
            <w:hideMark/>
          </w:tcPr>
          <w:p w14:paraId="61BC2DC2"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0B3450EF"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2020 – 2021 </w:t>
            </w:r>
          </w:p>
        </w:tc>
        <w:tc>
          <w:tcPr>
            <w:tcW w:w="992" w:type="dxa"/>
            <w:noWrap/>
            <w:tcMar>
              <w:top w:w="0" w:type="dxa"/>
              <w:left w:w="108" w:type="dxa"/>
              <w:bottom w:w="0" w:type="dxa"/>
              <w:right w:w="108" w:type="dxa"/>
            </w:tcMar>
            <w:vAlign w:val="bottom"/>
            <w:hideMark/>
          </w:tcPr>
          <w:p w14:paraId="7111920D"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38</w:t>
            </w:r>
          </w:p>
        </w:tc>
        <w:tc>
          <w:tcPr>
            <w:tcW w:w="0" w:type="auto"/>
            <w:vMerge/>
            <w:vAlign w:val="center"/>
            <w:hideMark/>
          </w:tcPr>
          <w:p w14:paraId="4A1CE386" w14:textId="77777777" w:rsidR="00D9158B" w:rsidRPr="00514F1A" w:rsidRDefault="00D9158B" w:rsidP="001C194B">
            <w:pPr>
              <w:rPr>
                <w:rFonts w:eastAsia="Times New Roman"/>
              </w:rPr>
            </w:pPr>
          </w:p>
        </w:tc>
      </w:tr>
      <w:tr w:rsidR="00D9158B" w:rsidRPr="00514F1A" w14:paraId="3CCED708" w14:textId="77777777" w:rsidTr="001C194B">
        <w:trPr>
          <w:trHeight w:val="215"/>
        </w:trPr>
        <w:tc>
          <w:tcPr>
            <w:tcW w:w="3392" w:type="dxa"/>
            <w:vMerge/>
            <w:vAlign w:val="center"/>
            <w:hideMark/>
          </w:tcPr>
          <w:p w14:paraId="3BE6E306"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23A01F7E"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2021 – 2022</w:t>
            </w:r>
          </w:p>
        </w:tc>
        <w:tc>
          <w:tcPr>
            <w:tcW w:w="992" w:type="dxa"/>
            <w:noWrap/>
            <w:tcMar>
              <w:top w:w="0" w:type="dxa"/>
              <w:left w:w="108" w:type="dxa"/>
              <w:bottom w:w="0" w:type="dxa"/>
              <w:right w:w="108" w:type="dxa"/>
            </w:tcMar>
            <w:vAlign w:val="bottom"/>
            <w:hideMark/>
          </w:tcPr>
          <w:p w14:paraId="50E4F519"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58</w:t>
            </w:r>
          </w:p>
        </w:tc>
        <w:tc>
          <w:tcPr>
            <w:tcW w:w="0" w:type="auto"/>
            <w:vMerge/>
            <w:vAlign w:val="center"/>
            <w:hideMark/>
          </w:tcPr>
          <w:p w14:paraId="7A9B8F21" w14:textId="77777777" w:rsidR="00D9158B" w:rsidRPr="00514F1A" w:rsidRDefault="00D9158B" w:rsidP="001C194B">
            <w:pPr>
              <w:rPr>
                <w:rFonts w:eastAsia="Times New Roman"/>
              </w:rPr>
            </w:pPr>
          </w:p>
        </w:tc>
      </w:tr>
      <w:tr w:rsidR="00D9158B" w:rsidRPr="00514F1A" w14:paraId="6B4668C9" w14:textId="77777777" w:rsidTr="001C194B">
        <w:trPr>
          <w:trHeight w:val="215"/>
        </w:trPr>
        <w:tc>
          <w:tcPr>
            <w:tcW w:w="3392" w:type="dxa"/>
            <w:vMerge/>
            <w:vAlign w:val="center"/>
            <w:hideMark/>
          </w:tcPr>
          <w:p w14:paraId="661C1310" w14:textId="77777777" w:rsidR="00D9158B" w:rsidRPr="00514F1A" w:rsidRDefault="00D9158B" w:rsidP="001C194B">
            <w:pPr>
              <w:rPr>
                <w:rFonts w:eastAsia="Times New Roman"/>
              </w:rPr>
            </w:pPr>
          </w:p>
        </w:tc>
        <w:tc>
          <w:tcPr>
            <w:tcW w:w="1560" w:type="dxa"/>
            <w:noWrap/>
            <w:tcMar>
              <w:top w:w="0" w:type="dxa"/>
              <w:left w:w="108" w:type="dxa"/>
              <w:bottom w:w="0" w:type="dxa"/>
              <w:right w:w="108" w:type="dxa"/>
            </w:tcMar>
            <w:vAlign w:val="bottom"/>
            <w:hideMark/>
          </w:tcPr>
          <w:p w14:paraId="5E143FC0" w14:textId="77777777" w:rsidR="00D9158B" w:rsidRPr="00514F1A" w:rsidRDefault="00D9158B" w:rsidP="001C194B">
            <w:pPr>
              <w:rPr>
                <w:rFonts w:eastAsia="Times New Roman"/>
              </w:rPr>
            </w:pPr>
            <w:r w:rsidRPr="00514F1A">
              <w:rPr>
                <w:rFonts w:eastAsia="Times New Roman" w:cs="Arial"/>
                <w:sz w:val="16"/>
                <w:szCs w:val="16"/>
                <w:bdr w:val="none" w:sz="0" w:space="0" w:color="auto" w:frame="1"/>
              </w:rPr>
              <w:t>2022 – Present </w:t>
            </w:r>
          </w:p>
        </w:tc>
        <w:tc>
          <w:tcPr>
            <w:tcW w:w="992" w:type="dxa"/>
            <w:noWrap/>
            <w:tcMar>
              <w:top w:w="0" w:type="dxa"/>
              <w:left w:w="108" w:type="dxa"/>
              <w:bottom w:w="0" w:type="dxa"/>
              <w:right w:w="108" w:type="dxa"/>
            </w:tcMar>
            <w:vAlign w:val="bottom"/>
            <w:hideMark/>
          </w:tcPr>
          <w:p w14:paraId="49DE9B04" w14:textId="77777777" w:rsidR="00D9158B" w:rsidRPr="00514F1A" w:rsidRDefault="00D9158B" w:rsidP="001C194B">
            <w:pPr>
              <w:jc w:val="right"/>
              <w:rPr>
                <w:rFonts w:eastAsia="Times New Roman"/>
              </w:rPr>
            </w:pPr>
            <w:r w:rsidRPr="00514F1A">
              <w:rPr>
                <w:rFonts w:eastAsia="Times New Roman" w:cs="Arial"/>
                <w:sz w:val="16"/>
                <w:szCs w:val="16"/>
                <w:bdr w:val="none" w:sz="0" w:space="0" w:color="auto" w:frame="1"/>
              </w:rPr>
              <w:t>50</w:t>
            </w:r>
          </w:p>
        </w:tc>
        <w:tc>
          <w:tcPr>
            <w:tcW w:w="0" w:type="auto"/>
            <w:vMerge/>
            <w:vAlign w:val="center"/>
            <w:hideMark/>
          </w:tcPr>
          <w:p w14:paraId="7BEDC25D" w14:textId="77777777" w:rsidR="00D9158B" w:rsidRPr="00514F1A" w:rsidRDefault="00D9158B" w:rsidP="001C194B">
            <w:pPr>
              <w:rPr>
                <w:rFonts w:eastAsia="Times New Roman"/>
              </w:rPr>
            </w:pPr>
          </w:p>
        </w:tc>
      </w:tr>
    </w:tbl>
    <w:p w14:paraId="47CDAA3B" w14:textId="77777777" w:rsidR="00D9158B" w:rsidRDefault="00D9158B" w:rsidP="00E652A3">
      <w:pPr>
        <w:pStyle w:val="BodyCopy"/>
      </w:pPr>
    </w:p>
    <w:p w14:paraId="177F8113" w14:textId="11876975" w:rsidR="00E4290C" w:rsidRDefault="00E4290C" w:rsidP="00E4290C">
      <w:pPr>
        <w:pStyle w:val="Header2"/>
        <w:numPr>
          <w:ilvl w:val="0"/>
          <w:numId w:val="0"/>
        </w:numPr>
        <w:ind w:left="720" w:hanging="720"/>
      </w:pPr>
    </w:p>
    <w:p w14:paraId="62602940" w14:textId="77777777" w:rsidR="0005715B" w:rsidRDefault="0005715B" w:rsidP="0005715B">
      <w:pPr>
        <w:pStyle w:val="Header2"/>
        <w:numPr>
          <w:ilvl w:val="0"/>
          <w:numId w:val="0"/>
        </w:numPr>
        <w:ind w:left="720"/>
      </w:pPr>
    </w:p>
    <w:p w14:paraId="071AE571" w14:textId="77777777" w:rsidR="00D9158B" w:rsidRDefault="00D9158B" w:rsidP="009719C0">
      <w:pPr>
        <w:pStyle w:val="BodyCopy"/>
      </w:pPr>
    </w:p>
    <w:p w14:paraId="25FD09C2" w14:textId="776C2673" w:rsidR="00D9158B" w:rsidRDefault="00D9158B" w:rsidP="009719C0">
      <w:pPr>
        <w:pStyle w:val="BodyCopy"/>
      </w:pPr>
    </w:p>
    <w:p w14:paraId="0B0BF4DA" w14:textId="64BD1866" w:rsidR="00D9158B" w:rsidRDefault="00D9158B" w:rsidP="00D9158B"/>
    <w:p w14:paraId="455DECA7" w14:textId="77777777" w:rsidR="00D9158B" w:rsidRPr="00D9158B" w:rsidRDefault="00D9158B" w:rsidP="00D9158B"/>
    <w:p w14:paraId="494CC71B" w14:textId="77777777" w:rsidR="00D9158B" w:rsidRDefault="00D9158B" w:rsidP="009719C0">
      <w:pPr>
        <w:pStyle w:val="BodyCopy"/>
      </w:pPr>
    </w:p>
    <w:p w14:paraId="25DD0720" w14:textId="5ACBE893"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3D03B005" w14:textId="11D67232"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D9158B"/>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4924-1937-4A53-ADA5-936F1B6E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2023-07-03T12:43:00Z</dcterms:created>
  <dcterms:modified xsi:type="dcterms:W3CDTF">2023-07-03T12:43:00Z</dcterms:modified>
</cp:coreProperties>
</file>