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480829B" w:rsidR="00BC08C6" w:rsidRPr="00F21541" w:rsidRDefault="00BC08C6" w:rsidP="00F21541">
      <w:pPr>
        <w:pStyle w:val="Header1"/>
      </w:pPr>
      <w:r w:rsidRPr="00F21541">
        <w:t xml:space="preserve">FOI </w:t>
      </w:r>
      <w:r w:rsidR="00E87FB1">
        <w:t>1835</w:t>
      </w:r>
    </w:p>
    <w:p w14:paraId="03EDF20E" w14:textId="741DBAA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87FB1">
        <w:rPr>
          <w:noProof/>
        </w:rPr>
        <w:t>19/06/2023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211F3D4A" w:rsidR="00BC08C6" w:rsidRDefault="00BC08C6" w:rsidP="00E652A3">
      <w:pPr>
        <w:pStyle w:val="BodyCopy"/>
      </w:pPr>
      <w:r>
        <w:t>You asked:</w:t>
      </w:r>
    </w:p>
    <w:p w14:paraId="467F1693" w14:textId="1491E550" w:rsidR="00E87FB1" w:rsidRDefault="00E87FB1" w:rsidP="00E652A3">
      <w:pPr>
        <w:pStyle w:val="BodyCopy"/>
      </w:pPr>
    </w:p>
    <w:p w14:paraId="2C73F61E" w14:textId="012CA213" w:rsidR="00E87FB1" w:rsidRPr="00E87FB1" w:rsidRDefault="00E87FB1" w:rsidP="00E87FB1">
      <w:pPr>
        <w:pStyle w:val="xmsonormal"/>
        <w:spacing w:after="160" w:line="254" w:lineRule="auto"/>
        <w:rPr>
          <w:rFonts w:ascii="Arial" w:hAnsi="Arial" w:cs="Arial"/>
          <w:sz w:val="22"/>
          <w:szCs w:val="22"/>
        </w:rPr>
      </w:pPr>
      <w:r w:rsidRPr="00872ABF">
        <w:rPr>
          <w:rFonts w:ascii="Arial" w:hAnsi="Arial" w:cs="Arial"/>
          <w:sz w:val="22"/>
          <w:szCs w:val="22"/>
        </w:rPr>
        <w:t xml:space="preserve">Please can you detail the number of grievances &amp; bullying and harassment complaints that have been raised in the last 5 </w:t>
      </w:r>
      <w:proofErr w:type="gramStart"/>
      <w:r w:rsidRPr="00872ABF">
        <w:rPr>
          <w:rFonts w:ascii="Arial" w:hAnsi="Arial" w:cs="Arial"/>
          <w:sz w:val="22"/>
          <w:szCs w:val="22"/>
        </w:rPr>
        <w:t>years.</w:t>
      </w:r>
      <w:proofErr w:type="gramEnd"/>
      <w:r w:rsidRPr="00872ABF">
        <w:rPr>
          <w:rFonts w:ascii="Arial" w:hAnsi="Arial" w:cs="Arial"/>
          <w:sz w:val="22"/>
          <w:szCs w:val="22"/>
        </w:rPr>
        <w:t>  It would be helpful if you could detail the information in the following table:</w:t>
      </w:r>
    </w:p>
    <w:p w14:paraId="77B5B503" w14:textId="77777777" w:rsidR="00E87FB1" w:rsidRDefault="00E87FB1" w:rsidP="00E87FB1">
      <w:pPr>
        <w:ind w:left="360"/>
        <w:rPr>
          <w:rFonts w:cs="Arial"/>
        </w:rPr>
      </w:pPr>
    </w:p>
    <w:tbl>
      <w:tblPr>
        <w:tblStyle w:val="TableGrid"/>
        <w:tblW w:w="92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6"/>
        <w:gridCol w:w="277"/>
        <w:gridCol w:w="2835"/>
        <w:gridCol w:w="284"/>
        <w:gridCol w:w="2835"/>
      </w:tblGrid>
      <w:tr w:rsidR="00E87FB1" w:rsidRPr="00872ABF" w14:paraId="05000486" w14:textId="77777777" w:rsidTr="00E87FB1">
        <w:trPr>
          <w:trHeight w:val="454"/>
          <w:jc w:val="center"/>
        </w:trPr>
        <w:tc>
          <w:tcPr>
            <w:tcW w:w="3036" w:type="dxa"/>
            <w:shd w:val="clear" w:color="auto" w:fill="D9E2F3" w:themeFill="accent1" w:themeFillTint="33"/>
            <w:vAlign w:val="center"/>
          </w:tcPr>
          <w:p w14:paraId="10EE254F" w14:textId="77777777" w:rsidR="00E87FB1" w:rsidRPr="00872ABF" w:rsidRDefault="00E87FB1" w:rsidP="006B0A30">
            <w:pPr>
              <w:jc w:val="center"/>
              <w:rPr>
                <w:rFonts w:cs="Arial"/>
                <w:b/>
              </w:rPr>
            </w:pPr>
            <w:r w:rsidRPr="00872ABF">
              <w:rPr>
                <w:rFonts w:cs="Arial"/>
                <w:b/>
              </w:rPr>
              <w:t>Year</w:t>
            </w:r>
          </w:p>
        </w:tc>
        <w:tc>
          <w:tcPr>
            <w:tcW w:w="277" w:type="dxa"/>
            <w:shd w:val="clear" w:color="auto" w:fill="auto"/>
            <w:vAlign w:val="center"/>
          </w:tcPr>
          <w:p w14:paraId="1B1A0CDC" w14:textId="77777777" w:rsidR="00E87FB1" w:rsidRPr="00872ABF" w:rsidRDefault="00E87FB1" w:rsidP="006B0A30">
            <w:pPr>
              <w:jc w:val="center"/>
              <w:rPr>
                <w:rFonts w:cs="Arial"/>
                <w:b/>
              </w:rPr>
            </w:pPr>
          </w:p>
        </w:tc>
        <w:tc>
          <w:tcPr>
            <w:tcW w:w="2835" w:type="dxa"/>
            <w:shd w:val="clear" w:color="auto" w:fill="D9E2F3" w:themeFill="accent1" w:themeFillTint="33"/>
            <w:vAlign w:val="center"/>
          </w:tcPr>
          <w:p w14:paraId="516C207F" w14:textId="77777777" w:rsidR="00E87FB1" w:rsidRPr="00872ABF" w:rsidRDefault="00E87FB1" w:rsidP="006B0A30">
            <w:pPr>
              <w:jc w:val="center"/>
              <w:rPr>
                <w:rFonts w:cs="Arial"/>
                <w:b/>
                <w:color w:val="000000"/>
              </w:rPr>
            </w:pPr>
            <w:r w:rsidRPr="00872ABF">
              <w:rPr>
                <w:rFonts w:cs="Arial"/>
                <w:b/>
                <w:color w:val="000000"/>
              </w:rPr>
              <w:t>Number of Grievances</w:t>
            </w:r>
          </w:p>
        </w:tc>
        <w:tc>
          <w:tcPr>
            <w:tcW w:w="284" w:type="dxa"/>
            <w:shd w:val="clear" w:color="auto" w:fill="auto"/>
            <w:vAlign w:val="center"/>
          </w:tcPr>
          <w:p w14:paraId="3C279A67" w14:textId="77777777" w:rsidR="00E87FB1" w:rsidRPr="00872ABF" w:rsidRDefault="00E87FB1" w:rsidP="006B0A30">
            <w:pPr>
              <w:jc w:val="center"/>
              <w:rPr>
                <w:rFonts w:cs="Arial"/>
                <w:b/>
                <w:color w:val="000000"/>
              </w:rPr>
            </w:pPr>
          </w:p>
        </w:tc>
        <w:tc>
          <w:tcPr>
            <w:tcW w:w="2835" w:type="dxa"/>
            <w:shd w:val="clear" w:color="auto" w:fill="D9E2F3" w:themeFill="accent1" w:themeFillTint="33"/>
            <w:vAlign w:val="center"/>
          </w:tcPr>
          <w:p w14:paraId="565B3B55" w14:textId="77777777" w:rsidR="00E87FB1" w:rsidRPr="00872ABF" w:rsidRDefault="00E87FB1" w:rsidP="006B0A30">
            <w:pPr>
              <w:jc w:val="center"/>
              <w:rPr>
                <w:rFonts w:cs="Arial"/>
                <w:b/>
                <w:color w:val="000000"/>
              </w:rPr>
            </w:pPr>
            <w:r w:rsidRPr="00872ABF">
              <w:rPr>
                <w:rFonts w:cs="Arial"/>
                <w:b/>
                <w:color w:val="000000"/>
              </w:rPr>
              <w:t>Number of Complaints of Bullying &amp; Harassment</w:t>
            </w:r>
          </w:p>
        </w:tc>
      </w:tr>
      <w:tr w:rsidR="00E87FB1" w14:paraId="181164F3" w14:textId="77777777" w:rsidTr="00E87FB1">
        <w:trPr>
          <w:trHeight w:hRule="exact" w:val="113"/>
          <w:jc w:val="center"/>
        </w:trPr>
        <w:tc>
          <w:tcPr>
            <w:tcW w:w="3036" w:type="dxa"/>
          </w:tcPr>
          <w:p w14:paraId="6CBA3795" w14:textId="77777777" w:rsidR="00E87FB1" w:rsidRPr="00847827" w:rsidRDefault="00E87FB1" w:rsidP="006B0A30">
            <w:pPr>
              <w:rPr>
                <w:rFonts w:cs="Arial"/>
              </w:rPr>
            </w:pPr>
          </w:p>
        </w:tc>
        <w:tc>
          <w:tcPr>
            <w:tcW w:w="277" w:type="dxa"/>
            <w:shd w:val="clear" w:color="auto" w:fill="auto"/>
          </w:tcPr>
          <w:p w14:paraId="3EF34418" w14:textId="77777777" w:rsidR="00E87FB1" w:rsidRDefault="00E87FB1" w:rsidP="006B0A30">
            <w:pPr>
              <w:rPr>
                <w:rFonts w:cs="Arial"/>
              </w:rPr>
            </w:pPr>
          </w:p>
        </w:tc>
        <w:tc>
          <w:tcPr>
            <w:tcW w:w="2835" w:type="dxa"/>
          </w:tcPr>
          <w:p w14:paraId="15881507" w14:textId="77777777" w:rsidR="00E87FB1" w:rsidRDefault="00E87FB1" w:rsidP="006B0A30">
            <w:pPr>
              <w:jc w:val="right"/>
              <w:rPr>
                <w:rFonts w:cs="Arial"/>
              </w:rPr>
            </w:pPr>
          </w:p>
        </w:tc>
        <w:tc>
          <w:tcPr>
            <w:tcW w:w="284" w:type="dxa"/>
            <w:shd w:val="clear" w:color="auto" w:fill="auto"/>
          </w:tcPr>
          <w:p w14:paraId="209B6BE3" w14:textId="77777777" w:rsidR="00E87FB1" w:rsidRDefault="00E87FB1" w:rsidP="006B0A30">
            <w:pPr>
              <w:jc w:val="right"/>
              <w:rPr>
                <w:rFonts w:cs="Arial"/>
              </w:rPr>
            </w:pPr>
          </w:p>
        </w:tc>
        <w:tc>
          <w:tcPr>
            <w:tcW w:w="2835" w:type="dxa"/>
          </w:tcPr>
          <w:p w14:paraId="05869BBD" w14:textId="77777777" w:rsidR="00E87FB1" w:rsidRDefault="00E87FB1" w:rsidP="006B0A30">
            <w:pPr>
              <w:jc w:val="right"/>
              <w:rPr>
                <w:rFonts w:cs="Arial"/>
              </w:rPr>
            </w:pPr>
          </w:p>
        </w:tc>
      </w:tr>
      <w:tr w:rsidR="00E87FB1" w14:paraId="2BFA2941" w14:textId="77777777" w:rsidTr="00E87FB1">
        <w:trPr>
          <w:trHeight w:val="454"/>
          <w:jc w:val="center"/>
        </w:trPr>
        <w:tc>
          <w:tcPr>
            <w:tcW w:w="3036" w:type="dxa"/>
            <w:shd w:val="clear" w:color="auto" w:fill="D9E2F3" w:themeFill="accent1" w:themeFillTint="33"/>
            <w:vAlign w:val="center"/>
          </w:tcPr>
          <w:p w14:paraId="6E5A7619" w14:textId="77777777" w:rsidR="00E87FB1" w:rsidRPr="00847827" w:rsidRDefault="00E87FB1" w:rsidP="006B0A30">
            <w:pPr>
              <w:rPr>
                <w:rFonts w:cs="Arial"/>
              </w:rPr>
            </w:pPr>
            <w:r>
              <w:rPr>
                <w:rFonts w:cs="Arial"/>
              </w:rPr>
              <w:t>01/04/2018 – 31/03/2019</w:t>
            </w:r>
          </w:p>
        </w:tc>
        <w:tc>
          <w:tcPr>
            <w:tcW w:w="277" w:type="dxa"/>
            <w:shd w:val="clear" w:color="auto" w:fill="auto"/>
            <w:vAlign w:val="center"/>
          </w:tcPr>
          <w:p w14:paraId="1F718349" w14:textId="77777777" w:rsidR="00E87FB1" w:rsidRDefault="00E87FB1" w:rsidP="006B0A30">
            <w:pPr>
              <w:rPr>
                <w:rFonts w:cs="Arial"/>
              </w:rPr>
            </w:pPr>
          </w:p>
        </w:tc>
        <w:tc>
          <w:tcPr>
            <w:tcW w:w="2835" w:type="dxa"/>
            <w:shd w:val="clear" w:color="auto" w:fill="D9E2F3" w:themeFill="accent1" w:themeFillTint="33"/>
            <w:vAlign w:val="center"/>
          </w:tcPr>
          <w:p w14:paraId="60C65811" w14:textId="77777777" w:rsidR="00E87FB1" w:rsidRDefault="00E87FB1" w:rsidP="006B0A30">
            <w:pPr>
              <w:jc w:val="center"/>
              <w:rPr>
                <w:rFonts w:cs="Arial"/>
              </w:rPr>
            </w:pPr>
            <w:r>
              <w:rPr>
                <w:rFonts w:cs="Arial"/>
              </w:rPr>
              <w:t>32</w:t>
            </w:r>
          </w:p>
        </w:tc>
        <w:tc>
          <w:tcPr>
            <w:tcW w:w="284" w:type="dxa"/>
            <w:shd w:val="clear" w:color="auto" w:fill="auto"/>
            <w:vAlign w:val="center"/>
          </w:tcPr>
          <w:p w14:paraId="342D6822" w14:textId="77777777" w:rsidR="00E87FB1" w:rsidRDefault="00E87FB1" w:rsidP="006B0A30">
            <w:pPr>
              <w:jc w:val="center"/>
              <w:rPr>
                <w:rFonts w:cs="Arial"/>
              </w:rPr>
            </w:pPr>
          </w:p>
        </w:tc>
        <w:tc>
          <w:tcPr>
            <w:tcW w:w="2835" w:type="dxa"/>
            <w:shd w:val="clear" w:color="auto" w:fill="D9E2F3" w:themeFill="accent1" w:themeFillTint="33"/>
            <w:vAlign w:val="center"/>
          </w:tcPr>
          <w:p w14:paraId="4D009FAA" w14:textId="77777777" w:rsidR="00E87FB1" w:rsidRDefault="00E87FB1" w:rsidP="006B0A30">
            <w:pPr>
              <w:jc w:val="center"/>
              <w:rPr>
                <w:rFonts w:cs="Arial"/>
              </w:rPr>
            </w:pPr>
            <w:r>
              <w:rPr>
                <w:rFonts w:cs="Arial"/>
              </w:rPr>
              <w:t>10</w:t>
            </w:r>
          </w:p>
        </w:tc>
      </w:tr>
      <w:tr w:rsidR="00E87FB1" w14:paraId="0A4773A6" w14:textId="77777777" w:rsidTr="00E87FB1">
        <w:trPr>
          <w:trHeight w:hRule="exact" w:val="113"/>
          <w:jc w:val="center"/>
        </w:trPr>
        <w:tc>
          <w:tcPr>
            <w:tcW w:w="3036" w:type="dxa"/>
          </w:tcPr>
          <w:p w14:paraId="370D7D0D" w14:textId="77777777" w:rsidR="00E87FB1" w:rsidRPr="00847827" w:rsidRDefault="00E87FB1" w:rsidP="006B0A30">
            <w:pPr>
              <w:rPr>
                <w:rFonts w:cs="Arial"/>
              </w:rPr>
            </w:pPr>
          </w:p>
        </w:tc>
        <w:tc>
          <w:tcPr>
            <w:tcW w:w="277" w:type="dxa"/>
            <w:shd w:val="clear" w:color="auto" w:fill="auto"/>
          </w:tcPr>
          <w:p w14:paraId="1B833EC8" w14:textId="77777777" w:rsidR="00E87FB1" w:rsidRDefault="00E87FB1" w:rsidP="006B0A30">
            <w:pPr>
              <w:rPr>
                <w:rFonts w:cs="Arial"/>
              </w:rPr>
            </w:pPr>
          </w:p>
        </w:tc>
        <w:tc>
          <w:tcPr>
            <w:tcW w:w="2835" w:type="dxa"/>
          </w:tcPr>
          <w:p w14:paraId="150C3715" w14:textId="77777777" w:rsidR="00E87FB1" w:rsidRDefault="00E87FB1" w:rsidP="006B0A30">
            <w:pPr>
              <w:jc w:val="center"/>
              <w:rPr>
                <w:rFonts w:cs="Arial"/>
              </w:rPr>
            </w:pPr>
          </w:p>
        </w:tc>
        <w:tc>
          <w:tcPr>
            <w:tcW w:w="284" w:type="dxa"/>
            <w:shd w:val="clear" w:color="auto" w:fill="auto"/>
          </w:tcPr>
          <w:p w14:paraId="10A9CB7E" w14:textId="77777777" w:rsidR="00E87FB1" w:rsidRDefault="00E87FB1" w:rsidP="006B0A30">
            <w:pPr>
              <w:jc w:val="center"/>
              <w:rPr>
                <w:rFonts w:cs="Arial"/>
              </w:rPr>
            </w:pPr>
          </w:p>
        </w:tc>
        <w:tc>
          <w:tcPr>
            <w:tcW w:w="2835" w:type="dxa"/>
          </w:tcPr>
          <w:p w14:paraId="5CF0505A" w14:textId="77777777" w:rsidR="00E87FB1" w:rsidRDefault="00E87FB1" w:rsidP="006B0A30">
            <w:pPr>
              <w:jc w:val="center"/>
              <w:rPr>
                <w:rFonts w:cs="Arial"/>
              </w:rPr>
            </w:pPr>
          </w:p>
        </w:tc>
      </w:tr>
      <w:tr w:rsidR="00E87FB1" w14:paraId="4477CDA8" w14:textId="77777777" w:rsidTr="00E87FB1">
        <w:trPr>
          <w:trHeight w:val="454"/>
          <w:jc w:val="center"/>
        </w:trPr>
        <w:tc>
          <w:tcPr>
            <w:tcW w:w="3036" w:type="dxa"/>
            <w:shd w:val="clear" w:color="auto" w:fill="D9E2F3" w:themeFill="accent1" w:themeFillTint="33"/>
            <w:vAlign w:val="center"/>
          </w:tcPr>
          <w:p w14:paraId="722C70CE" w14:textId="77777777" w:rsidR="00E87FB1" w:rsidRPr="00847827" w:rsidRDefault="00E87FB1" w:rsidP="006B0A30">
            <w:pPr>
              <w:rPr>
                <w:rFonts w:cs="Arial"/>
              </w:rPr>
            </w:pPr>
            <w:r>
              <w:rPr>
                <w:rFonts w:cs="Arial"/>
              </w:rPr>
              <w:t>01/04/2019 – 31/03/2020</w:t>
            </w:r>
          </w:p>
        </w:tc>
        <w:tc>
          <w:tcPr>
            <w:tcW w:w="277" w:type="dxa"/>
            <w:shd w:val="clear" w:color="auto" w:fill="auto"/>
            <w:vAlign w:val="center"/>
          </w:tcPr>
          <w:p w14:paraId="2DF0964F" w14:textId="77777777" w:rsidR="00E87FB1" w:rsidRDefault="00E87FB1" w:rsidP="006B0A30">
            <w:pPr>
              <w:rPr>
                <w:rFonts w:cs="Arial"/>
              </w:rPr>
            </w:pPr>
          </w:p>
        </w:tc>
        <w:tc>
          <w:tcPr>
            <w:tcW w:w="2835" w:type="dxa"/>
            <w:shd w:val="clear" w:color="auto" w:fill="D9E2F3" w:themeFill="accent1" w:themeFillTint="33"/>
            <w:vAlign w:val="center"/>
          </w:tcPr>
          <w:p w14:paraId="01C317C4" w14:textId="77777777" w:rsidR="00E87FB1" w:rsidRDefault="00E87FB1" w:rsidP="006B0A30">
            <w:pPr>
              <w:jc w:val="center"/>
              <w:rPr>
                <w:rFonts w:cs="Arial"/>
              </w:rPr>
            </w:pPr>
            <w:r>
              <w:rPr>
                <w:rFonts w:cs="Arial"/>
              </w:rPr>
              <w:t>16</w:t>
            </w:r>
          </w:p>
        </w:tc>
        <w:tc>
          <w:tcPr>
            <w:tcW w:w="284" w:type="dxa"/>
            <w:shd w:val="clear" w:color="auto" w:fill="auto"/>
            <w:vAlign w:val="center"/>
          </w:tcPr>
          <w:p w14:paraId="34735D1F" w14:textId="77777777" w:rsidR="00E87FB1" w:rsidRDefault="00E87FB1" w:rsidP="006B0A30">
            <w:pPr>
              <w:jc w:val="center"/>
              <w:rPr>
                <w:rFonts w:cs="Arial"/>
              </w:rPr>
            </w:pPr>
          </w:p>
        </w:tc>
        <w:tc>
          <w:tcPr>
            <w:tcW w:w="2835" w:type="dxa"/>
            <w:shd w:val="clear" w:color="auto" w:fill="D9E2F3" w:themeFill="accent1" w:themeFillTint="33"/>
            <w:vAlign w:val="center"/>
          </w:tcPr>
          <w:p w14:paraId="48C83A77" w14:textId="77777777" w:rsidR="00E87FB1" w:rsidRDefault="00E87FB1" w:rsidP="006B0A30">
            <w:pPr>
              <w:jc w:val="center"/>
              <w:rPr>
                <w:rFonts w:cs="Arial"/>
              </w:rPr>
            </w:pPr>
            <w:r>
              <w:rPr>
                <w:rFonts w:cs="Arial"/>
              </w:rPr>
              <w:t>12</w:t>
            </w:r>
          </w:p>
        </w:tc>
      </w:tr>
      <w:tr w:rsidR="00E87FB1" w14:paraId="145B9CF5" w14:textId="77777777" w:rsidTr="00E87FB1">
        <w:trPr>
          <w:trHeight w:hRule="exact" w:val="113"/>
          <w:jc w:val="center"/>
        </w:trPr>
        <w:tc>
          <w:tcPr>
            <w:tcW w:w="3036" w:type="dxa"/>
          </w:tcPr>
          <w:p w14:paraId="43198B7C" w14:textId="77777777" w:rsidR="00E87FB1" w:rsidRPr="00847827" w:rsidRDefault="00E87FB1" w:rsidP="006B0A30">
            <w:pPr>
              <w:rPr>
                <w:rFonts w:cs="Arial"/>
              </w:rPr>
            </w:pPr>
          </w:p>
        </w:tc>
        <w:tc>
          <w:tcPr>
            <w:tcW w:w="277" w:type="dxa"/>
            <w:shd w:val="clear" w:color="auto" w:fill="auto"/>
          </w:tcPr>
          <w:p w14:paraId="4608EBA3" w14:textId="77777777" w:rsidR="00E87FB1" w:rsidRDefault="00E87FB1" w:rsidP="006B0A30">
            <w:pPr>
              <w:rPr>
                <w:rFonts w:cs="Arial"/>
              </w:rPr>
            </w:pPr>
          </w:p>
        </w:tc>
        <w:tc>
          <w:tcPr>
            <w:tcW w:w="2835" w:type="dxa"/>
          </w:tcPr>
          <w:p w14:paraId="5F44B304" w14:textId="77777777" w:rsidR="00E87FB1" w:rsidRDefault="00E87FB1" w:rsidP="006B0A30">
            <w:pPr>
              <w:jc w:val="center"/>
              <w:rPr>
                <w:rFonts w:cs="Arial"/>
              </w:rPr>
            </w:pPr>
          </w:p>
        </w:tc>
        <w:tc>
          <w:tcPr>
            <w:tcW w:w="284" w:type="dxa"/>
            <w:shd w:val="clear" w:color="auto" w:fill="auto"/>
          </w:tcPr>
          <w:p w14:paraId="69948262" w14:textId="77777777" w:rsidR="00E87FB1" w:rsidRDefault="00E87FB1" w:rsidP="006B0A30">
            <w:pPr>
              <w:jc w:val="center"/>
              <w:rPr>
                <w:rFonts w:cs="Arial"/>
              </w:rPr>
            </w:pPr>
          </w:p>
        </w:tc>
        <w:tc>
          <w:tcPr>
            <w:tcW w:w="2835" w:type="dxa"/>
          </w:tcPr>
          <w:p w14:paraId="015AD2F4" w14:textId="77777777" w:rsidR="00E87FB1" w:rsidRDefault="00E87FB1" w:rsidP="006B0A30">
            <w:pPr>
              <w:jc w:val="center"/>
              <w:rPr>
                <w:rFonts w:cs="Arial"/>
              </w:rPr>
            </w:pPr>
          </w:p>
        </w:tc>
      </w:tr>
      <w:tr w:rsidR="00E87FB1" w14:paraId="3E2CD607" w14:textId="77777777" w:rsidTr="00E87FB1">
        <w:trPr>
          <w:trHeight w:val="454"/>
          <w:jc w:val="center"/>
        </w:trPr>
        <w:tc>
          <w:tcPr>
            <w:tcW w:w="3036" w:type="dxa"/>
            <w:shd w:val="clear" w:color="auto" w:fill="D9E2F3" w:themeFill="accent1" w:themeFillTint="33"/>
            <w:vAlign w:val="center"/>
          </w:tcPr>
          <w:p w14:paraId="19A10CF8" w14:textId="77777777" w:rsidR="00E87FB1" w:rsidRPr="00847827" w:rsidRDefault="00E87FB1" w:rsidP="006B0A30">
            <w:pPr>
              <w:rPr>
                <w:rFonts w:cs="Arial"/>
              </w:rPr>
            </w:pPr>
            <w:r>
              <w:rPr>
                <w:rFonts w:cs="Arial"/>
              </w:rPr>
              <w:t>01/04/2020 – 31/03/2021</w:t>
            </w:r>
          </w:p>
        </w:tc>
        <w:tc>
          <w:tcPr>
            <w:tcW w:w="277" w:type="dxa"/>
            <w:shd w:val="clear" w:color="auto" w:fill="auto"/>
            <w:vAlign w:val="center"/>
          </w:tcPr>
          <w:p w14:paraId="527B3A48" w14:textId="77777777" w:rsidR="00E87FB1" w:rsidRDefault="00E87FB1" w:rsidP="006B0A30">
            <w:pPr>
              <w:rPr>
                <w:rFonts w:cs="Arial"/>
              </w:rPr>
            </w:pPr>
          </w:p>
        </w:tc>
        <w:tc>
          <w:tcPr>
            <w:tcW w:w="2835" w:type="dxa"/>
            <w:shd w:val="clear" w:color="auto" w:fill="D9E2F3" w:themeFill="accent1" w:themeFillTint="33"/>
            <w:vAlign w:val="center"/>
          </w:tcPr>
          <w:p w14:paraId="5C77B67B" w14:textId="77777777" w:rsidR="00E87FB1" w:rsidRDefault="00E87FB1" w:rsidP="006B0A30">
            <w:pPr>
              <w:jc w:val="center"/>
              <w:rPr>
                <w:rFonts w:cs="Arial"/>
              </w:rPr>
            </w:pPr>
            <w:r>
              <w:rPr>
                <w:rFonts w:cs="Arial"/>
              </w:rPr>
              <w:t>9</w:t>
            </w:r>
          </w:p>
        </w:tc>
        <w:tc>
          <w:tcPr>
            <w:tcW w:w="284" w:type="dxa"/>
            <w:shd w:val="clear" w:color="auto" w:fill="auto"/>
            <w:vAlign w:val="center"/>
          </w:tcPr>
          <w:p w14:paraId="77A0786D" w14:textId="77777777" w:rsidR="00E87FB1" w:rsidRDefault="00E87FB1" w:rsidP="006B0A30">
            <w:pPr>
              <w:jc w:val="center"/>
              <w:rPr>
                <w:rFonts w:cs="Arial"/>
              </w:rPr>
            </w:pPr>
          </w:p>
        </w:tc>
        <w:tc>
          <w:tcPr>
            <w:tcW w:w="2835" w:type="dxa"/>
            <w:shd w:val="clear" w:color="auto" w:fill="D9E2F3" w:themeFill="accent1" w:themeFillTint="33"/>
            <w:vAlign w:val="center"/>
          </w:tcPr>
          <w:p w14:paraId="6238F571" w14:textId="77777777" w:rsidR="00E87FB1" w:rsidRDefault="00E87FB1" w:rsidP="006B0A30">
            <w:pPr>
              <w:jc w:val="center"/>
              <w:rPr>
                <w:rFonts w:cs="Arial"/>
              </w:rPr>
            </w:pPr>
            <w:r>
              <w:rPr>
                <w:rFonts w:cs="Arial"/>
              </w:rPr>
              <w:t>11</w:t>
            </w:r>
          </w:p>
        </w:tc>
      </w:tr>
      <w:tr w:rsidR="00E87FB1" w14:paraId="18D19889" w14:textId="77777777" w:rsidTr="00E87FB1">
        <w:trPr>
          <w:trHeight w:hRule="exact" w:val="113"/>
          <w:jc w:val="center"/>
        </w:trPr>
        <w:tc>
          <w:tcPr>
            <w:tcW w:w="3036" w:type="dxa"/>
          </w:tcPr>
          <w:p w14:paraId="591BAC8C" w14:textId="77777777" w:rsidR="00E87FB1" w:rsidRPr="00847827" w:rsidRDefault="00E87FB1" w:rsidP="006B0A30">
            <w:pPr>
              <w:rPr>
                <w:rFonts w:cs="Arial"/>
              </w:rPr>
            </w:pPr>
          </w:p>
        </w:tc>
        <w:tc>
          <w:tcPr>
            <w:tcW w:w="277" w:type="dxa"/>
            <w:shd w:val="clear" w:color="auto" w:fill="auto"/>
          </w:tcPr>
          <w:p w14:paraId="15B7672E" w14:textId="77777777" w:rsidR="00E87FB1" w:rsidRDefault="00E87FB1" w:rsidP="006B0A30">
            <w:pPr>
              <w:rPr>
                <w:rFonts w:cs="Arial"/>
              </w:rPr>
            </w:pPr>
          </w:p>
        </w:tc>
        <w:tc>
          <w:tcPr>
            <w:tcW w:w="2835" w:type="dxa"/>
          </w:tcPr>
          <w:p w14:paraId="37FE0DE7" w14:textId="77777777" w:rsidR="00E87FB1" w:rsidRDefault="00E87FB1" w:rsidP="006B0A30">
            <w:pPr>
              <w:jc w:val="center"/>
              <w:rPr>
                <w:rFonts w:cs="Arial"/>
              </w:rPr>
            </w:pPr>
          </w:p>
        </w:tc>
        <w:tc>
          <w:tcPr>
            <w:tcW w:w="284" w:type="dxa"/>
            <w:shd w:val="clear" w:color="auto" w:fill="auto"/>
          </w:tcPr>
          <w:p w14:paraId="2868279E" w14:textId="77777777" w:rsidR="00E87FB1" w:rsidRDefault="00E87FB1" w:rsidP="006B0A30">
            <w:pPr>
              <w:jc w:val="center"/>
              <w:rPr>
                <w:rFonts w:cs="Arial"/>
              </w:rPr>
            </w:pPr>
          </w:p>
        </w:tc>
        <w:tc>
          <w:tcPr>
            <w:tcW w:w="2835" w:type="dxa"/>
          </w:tcPr>
          <w:p w14:paraId="3EC4A3ED" w14:textId="77777777" w:rsidR="00E87FB1" w:rsidRDefault="00E87FB1" w:rsidP="006B0A30">
            <w:pPr>
              <w:jc w:val="center"/>
              <w:rPr>
                <w:rFonts w:cs="Arial"/>
              </w:rPr>
            </w:pPr>
          </w:p>
        </w:tc>
      </w:tr>
      <w:tr w:rsidR="00E87FB1" w14:paraId="15E19B1A" w14:textId="77777777" w:rsidTr="00E87FB1">
        <w:trPr>
          <w:trHeight w:val="454"/>
          <w:jc w:val="center"/>
        </w:trPr>
        <w:tc>
          <w:tcPr>
            <w:tcW w:w="3036" w:type="dxa"/>
            <w:shd w:val="clear" w:color="auto" w:fill="D9E2F3" w:themeFill="accent1" w:themeFillTint="33"/>
            <w:vAlign w:val="center"/>
          </w:tcPr>
          <w:p w14:paraId="3BD586A7" w14:textId="77777777" w:rsidR="00E87FB1" w:rsidRPr="00847827" w:rsidRDefault="00E87FB1" w:rsidP="006B0A30">
            <w:pPr>
              <w:rPr>
                <w:rFonts w:cs="Arial"/>
              </w:rPr>
            </w:pPr>
            <w:r>
              <w:rPr>
                <w:rFonts w:cs="Arial"/>
              </w:rPr>
              <w:t>01/04/2021 – 31/03/2022</w:t>
            </w:r>
          </w:p>
        </w:tc>
        <w:tc>
          <w:tcPr>
            <w:tcW w:w="277" w:type="dxa"/>
            <w:shd w:val="clear" w:color="auto" w:fill="auto"/>
            <w:vAlign w:val="center"/>
          </w:tcPr>
          <w:p w14:paraId="099B8811" w14:textId="77777777" w:rsidR="00E87FB1" w:rsidRDefault="00E87FB1" w:rsidP="006B0A30">
            <w:pPr>
              <w:rPr>
                <w:rFonts w:cs="Arial"/>
              </w:rPr>
            </w:pPr>
          </w:p>
        </w:tc>
        <w:tc>
          <w:tcPr>
            <w:tcW w:w="2835" w:type="dxa"/>
            <w:shd w:val="clear" w:color="auto" w:fill="D9E2F3" w:themeFill="accent1" w:themeFillTint="33"/>
            <w:vAlign w:val="center"/>
          </w:tcPr>
          <w:p w14:paraId="2EBFAE06" w14:textId="77777777" w:rsidR="00E87FB1" w:rsidRPr="003D0DAE" w:rsidRDefault="00E87FB1" w:rsidP="006B0A30">
            <w:pPr>
              <w:jc w:val="center"/>
              <w:rPr>
                <w:rFonts w:cs="Arial"/>
              </w:rPr>
            </w:pPr>
            <w:r>
              <w:rPr>
                <w:rFonts w:cs="Arial"/>
              </w:rPr>
              <w:t>22</w:t>
            </w:r>
          </w:p>
        </w:tc>
        <w:tc>
          <w:tcPr>
            <w:tcW w:w="284" w:type="dxa"/>
            <w:shd w:val="clear" w:color="auto" w:fill="auto"/>
            <w:vAlign w:val="center"/>
          </w:tcPr>
          <w:p w14:paraId="0A83D85A" w14:textId="77777777" w:rsidR="00E87FB1" w:rsidRPr="003D0DAE" w:rsidRDefault="00E87FB1" w:rsidP="006B0A30">
            <w:pPr>
              <w:jc w:val="center"/>
              <w:rPr>
                <w:rFonts w:cs="Arial"/>
              </w:rPr>
            </w:pPr>
          </w:p>
        </w:tc>
        <w:tc>
          <w:tcPr>
            <w:tcW w:w="2835" w:type="dxa"/>
            <w:shd w:val="clear" w:color="auto" w:fill="D9E2F3" w:themeFill="accent1" w:themeFillTint="33"/>
            <w:vAlign w:val="center"/>
          </w:tcPr>
          <w:p w14:paraId="7F0FA2B3" w14:textId="77777777" w:rsidR="00E87FB1" w:rsidRPr="003D0DAE" w:rsidRDefault="00E87FB1" w:rsidP="006B0A30">
            <w:pPr>
              <w:jc w:val="center"/>
              <w:rPr>
                <w:rFonts w:cs="Arial"/>
              </w:rPr>
            </w:pPr>
            <w:r>
              <w:rPr>
                <w:rFonts w:cs="Arial"/>
              </w:rPr>
              <w:t>8</w:t>
            </w:r>
          </w:p>
        </w:tc>
      </w:tr>
      <w:tr w:rsidR="00E87FB1" w14:paraId="1E124047" w14:textId="77777777" w:rsidTr="00E87FB1">
        <w:trPr>
          <w:trHeight w:hRule="exact" w:val="113"/>
          <w:jc w:val="center"/>
        </w:trPr>
        <w:tc>
          <w:tcPr>
            <w:tcW w:w="3036" w:type="dxa"/>
          </w:tcPr>
          <w:p w14:paraId="0B07E17B" w14:textId="77777777" w:rsidR="00E87FB1" w:rsidRPr="00847827" w:rsidRDefault="00E87FB1" w:rsidP="006B0A30">
            <w:pPr>
              <w:rPr>
                <w:rFonts w:cs="Arial"/>
              </w:rPr>
            </w:pPr>
          </w:p>
        </w:tc>
        <w:tc>
          <w:tcPr>
            <w:tcW w:w="277" w:type="dxa"/>
            <w:shd w:val="clear" w:color="auto" w:fill="auto"/>
          </w:tcPr>
          <w:p w14:paraId="4861E587" w14:textId="77777777" w:rsidR="00E87FB1" w:rsidRDefault="00E87FB1" w:rsidP="006B0A30">
            <w:pPr>
              <w:rPr>
                <w:rFonts w:cs="Arial"/>
              </w:rPr>
            </w:pPr>
          </w:p>
        </w:tc>
        <w:tc>
          <w:tcPr>
            <w:tcW w:w="2835" w:type="dxa"/>
          </w:tcPr>
          <w:p w14:paraId="6EAF4E92" w14:textId="77777777" w:rsidR="00E87FB1" w:rsidRDefault="00E87FB1" w:rsidP="006B0A30">
            <w:pPr>
              <w:jc w:val="center"/>
              <w:rPr>
                <w:rFonts w:cs="Arial"/>
              </w:rPr>
            </w:pPr>
          </w:p>
        </w:tc>
        <w:tc>
          <w:tcPr>
            <w:tcW w:w="284" w:type="dxa"/>
            <w:shd w:val="clear" w:color="auto" w:fill="auto"/>
          </w:tcPr>
          <w:p w14:paraId="566631C5" w14:textId="77777777" w:rsidR="00E87FB1" w:rsidRDefault="00E87FB1" w:rsidP="006B0A30">
            <w:pPr>
              <w:jc w:val="center"/>
              <w:rPr>
                <w:rFonts w:cs="Arial"/>
              </w:rPr>
            </w:pPr>
          </w:p>
        </w:tc>
        <w:tc>
          <w:tcPr>
            <w:tcW w:w="2835" w:type="dxa"/>
          </w:tcPr>
          <w:p w14:paraId="299040CA" w14:textId="77777777" w:rsidR="00E87FB1" w:rsidRDefault="00E87FB1" w:rsidP="006B0A30">
            <w:pPr>
              <w:jc w:val="center"/>
              <w:rPr>
                <w:rFonts w:cs="Arial"/>
              </w:rPr>
            </w:pPr>
          </w:p>
        </w:tc>
      </w:tr>
      <w:tr w:rsidR="00E87FB1" w14:paraId="5D1FA505" w14:textId="77777777" w:rsidTr="00E87FB1">
        <w:trPr>
          <w:trHeight w:val="454"/>
          <w:jc w:val="center"/>
        </w:trPr>
        <w:tc>
          <w:tcPr>
            <w:tcW w:w="3036" w:type="dxa"/>
            <w:shd w:val="clear" w:color="auto" w:fill="D9E2F3" w:themeFill="accent1" w:themeFillTint="33"/>
            <w:vAlign w:val="center"/>
          </w:tcPr>
          <w:p w14:paraId="3D38B4CA" w14:textId="77777777" w:rsidR="00E87FB1" w:rsidRPr="00847827" w:rsidRDefault="00E87FB1" w:rsidP="006B0A30">
            <w:pPr>
              <w:rPr>
                <w:rFonts w:cs="Arial"/>
              </w:rPr>
            </w:pPr>
            <w:r>
              <w:rPr>
                <w:rFonts w:cs="Arial"/>
              </w:rPr>
              <w:t>01/04/2022 – 30/11/2022</w:t>
            </w:r>
          </w:p>
        </w:tc>
        <w:tc>
          <w:tcPr>
            <w:tcW w:w="277" w:type="dxa"/>
            <w:shd w:val="clear" w:color="auto" w:fill="auto"/>
            <w:vAlign w:val="center"/>
          </w:tcPr>
          <w:p w14:paraId="437C90C9" w14:textId="77777777" w:rsidR="00E87FB1" w:rsidRDefault="00E87FB1" w:rsidP="006B0A30">
            <w:pPr>
              <w:rPr>
                <w:rFonts w:cs="Arial"/>
              </w:rPr>
            </w:pPr>
          </w:p>
        </w:tc>
        <w:tc>
          <w:tcPr>
            <w:tcW w:w="2835" w:type="dxa"/>
            <w:shd w:val="clear" w:color="auto" w:fill="D9E2F3" w:themeFill="accent1" w:themeFillTint="33"/>
            <w:vAlign w:val="center"/>
          </w:tcPr>
          <w:p w14:paraId="1CCB3BF9" w14:textId="77777777" w:rsidR="00E87FB1" w:rsidRDefault="00E87FB1" w:rsidP="006B0A30">
            <w:pPr>
              <w:jc w:val="center"/>
              <w:rPr>
                <w:rFonts w:cs="Arial"/>
              </w:rPr>
            </w:pPr>
            <w:r>
              <w:rPr>
                <w:rFonts w:cs="Arial"/>
              </w:rPr>
              <w:t>16</w:t>
            </w:r>
          </w:p>
        </w:tc>
        <w:tc>
          <w:tcPr>
            <w:tcW w:w="284" w:type="dxa"/>
            <w:shd w:val="clear" w:color="auto" w:fill="auto"/>
            <w:vAlign w:val="center"/>
          </w:tcPr>
          <w:p w14:paraId="3BC887D7" w14:textId="77777777" w:rsidR="00E87FB1" w:rsidRDefault="00E87FB1" w:rsidP="006B0A30">
            <w:pPr>
              <w:jc w:val="center"/>
              <w:rPr>
                <w:rFonts w:cs="Arial"/>
              </w:rPr>
            </w:pPr>
          </w:p>
        </w:tc>
        <w:tc>
          <w:tcPr>
            <w:tcW w:w="2835" w:type="dxa"/>
            <w:shd w:val="clear" w:color="auto" w:fill="D9E2F3" w:themeFill="accent1" w:themeFillTint="33"/>
            <w:vAlign w:val="center"/>
          </w:tcPr>
          <w:p w14:paraId="1710086B" w14:textId="77777777" w:rsidR="00E87FB1" w:rsidRDefault="00E87FB1" w:rsidP="006B0A30">
            <w:pPr>
              <w:jc w:val="center"/>
              <w:rPr>
                <w:rFonts w:cs="Arial"/>
              </w:rPr>
            </w:pPr>
            <w:r>
              <w:rPr>
                <w:rFonts w:cs="Arial"/>
              </w:rPr>
              <w:t>8</w:t>
            </w:r>
          </w:p>
        </w:tc>
      </w:tr>
    </w:tbl>
    <w:p w14:paraId="220A9AD8" w14:textId="77777777" w:rsidR="00E87FB1" w:rsidRDefault="00E87FB1" w:rsidP="00E87FB1">
      <w:pPr>
        <w:ind w:left="360"/>
        <w:rPr>
          <w:rFonts w:cs="Arial"/>
        </w:rPr>
      </w:pPr>
    </w:p>
    <w:p w14:paraId="0BE304C6" w14:textId="77777777" w:rsidR="00E87FB1" w:rsidRDefault="00E87FB1" w:rsidP="00E87FB1">
      <w:pPr>
        <w:ind w:left="360"/>
        <w:rPr>
          <w:rFonts w:cs="Arial"/>
        </w:rPr>
      </w:pPr>
    </w:p>
    <w:p w14:paraId="1F3ACB2A" w14:textId="77777777" w:rsidR="00E87FB1" w:rsidRDefault="00E87FB1" w:rsidP="00E87FB1">
      <w:pPr>
        <w:ind w:left="360"/>
        <w:rPr>
          <w:rFonts w:cs="Arial"/>
        </w:rPr>
      </w:pPr>
      <w:r>
        <w:rPr>
          <w:rFonts w:cs="Arial"/>
        </w:rPr>
        <w:t>How many of the above cases remain unsolved as of 30</w:t>
      </w:r>
      <w:r w:rsidRPr="006B27E5">
        <w:rPr>
          <w:rFonts w:cs="Arial"/>
          <w:vertAlign w:val="superscript"/>
        </w:rPr>
        <w:t>th</w:t>
      </w:r>
      <w:r>
        <w:rPr>
          <w:rFonts w:cs="Arial"/>
        </w:rPr>
        <w:t xml:space="preserve"> November 2022?</w:t>
      </w:r>
    </w:p>
    <w:p w14:paraId="2D90DCAE" w14:textId="77777777" w:rsidR="00E87FB1" w:rsidRDefault="00E87FB1" w:rsidP="00E87FB1">
      <w:pPr>
        <w:ind w:left="360"/>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E87FB1" w14:paraId="1B6A2654" w14:textId="77777777" w:rsidTr="00E87FB1">
        <w:trPr>
          <w:jc w:val="center"/>
        </w:trPr>
        <w:tc>
          <w:tcPr>
            <w:tcW w:w="9016" w:type="dxa"/>
            <w:shd w:val="clear" w:color="auto" w:fill="D9E2F3" w:themeFill="accent1" w:themeFillTint="33"/>
          </w:tcPr>
          <w:p w14:paraId="296ED18F" w14:textId="77777777" w:rsidR="00E87FB1" w:rsidRDefault="00E87FB1" w:rsidP="006B0A30">
            <w:pPr>
              <w:rPr>
                <w:rFonts w:cs="Arial"/>
              </w:rPr>
            </w:pPr>
            <w:r>
              <w:rPr>
                <w:rFonts w:cs="Arial"/>
              </w:rPr>
              <w:t>At the end of the period there were 14 grievance cases on-going and 5 bullying &amp; harassment cases are still live; 47.4% of these cases have been raised from quarter two onwards.</w:t>
            </w:r>
          </w:p>
        </w:tc>
      </w:tr>
    </w:tbl>
    <w:p w14:paraId="524D3404" w14:textId="77777777" w:rsidR="00E87FB1" w:rsidRDefault="00E87FB1" w:rsidP="00E87FB1">
      <w:pPr>
        <w:ind w:left="360"/>
        <w:rPr>
          <w:rFonts w:cs="Arial"/>
        </w:rPr>
      </w:pPr>
    </w:p>
    <w:p w14:paraId="76D14C93" w14:textId="77777777" w:rsidR="00E87FB1" w:rsidRDefault="00E87FB1" w:rsidP="00E87FB1">
      <w:pPr>
        <w:ind w:left="360"/>
        <w:rPr>
          <w:rFonts w:cs="Arial"/>
        </w:rPr>
      </w:pPr>
    </w:p>
    <w:p w14:paraId="56739C69" w14:textId="77777777" w:rsidR="00E87FB1" w:rsidRPr="006B27E5" w:rsidRDefault="00E87FB1" w:rsidP="00E87FB1">
      <w:pPr>
        <w:pStyle w:val="xmsonormal"/>
        <w:spacing w:after="160" w:line="254" w:lineRule="auto"/>
        <w:ind w:left="426"/>
        <w:rPr>
          <w:rFonts w:ascii="Arial" w:hAnsi="Arial" w:cs="Arial"/>
          <w:sz w:val="22"/>
          <w:szCs w:val="22"/>
        </w:rPr>
      </w:pPr>
      <w:r w:rsidRPr="006B27E5">
        <w:rPr>
          <w:rFonts w:ascii="Arial" w:hAnsi="Arial" w:cs="Arial"/>
          <w:sz w:val="22"/>
          <w:szCs w:val="22"/>
        </w:rPr>
        <w:t>What number of employees, who have raised a grievance or B&amp;H complaint since 1</w:t>
      </w:r>
      <w:r w:rsidRPr="006B27E5">
        <w:rPr>
          <w:rFonts w:ascii="Arial" w:hAnsi="Arial" w:cs="Arial"/>
          <w:sz w:val="22"/>
          <w:szCs w:val="22"/>
          <w:vertAlign w:val="superscript"/>
        </w:rPr>
        <w:t>st</w:t>
      </w:r>
      <w:r w:rsidRPr="006B27E5">
        <w:rPr>
          <w:rFonts w:ascii="Arial" w:hAnsi="Arial" w:cs="Arial"/>
          <w:sz w:val="22"/>
          <w:szCs w:val="22"/>
        </w:rPr>
        <w:t xml:space="preserve"> April 2018, remained at the Trust, in their same role, one year after their complaint was concluded?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E87FB1" w14:paraId="53A99AF0" w14:textId="77777777" w:rsidTr="00E87FB1">
        <w:trPr>
          <w:jc w:val="center"/>
        </w:trPr>
        <w:tc>
          <w:tcPr>
            <w:tcW w:w="9016" w:type="dxa"/>
            <w:shd w:val="clear" w:color="auto" w:fill="D9E2F3" w:themeFill="accent1" w:themeFillTint="33"/>
          </w:tcPr>
          <w:p w14:paraId="2C444F79" w14:textId="77777777" w:rsidR="00E87FB1" w:rsidRDefault="00E87FB1" w:rsidP="006B0A30">
            <w:pPr>
              <w:rPr>
                <w:rFonts w:cs="Arial"/>
              </w:rPr>
            </w:pPr>
            <w:r>
              <w:rPr>
                <w:rFonts w:cs="Arial"/>
              </w:rPr>
              <w:t>This information is not routinely collated and it is therefore not possible to provide a response to this question.</w:t>
            </w:r>
          </w:p>
        </w:tc>
      </w:tr>
    </w:tbl>
    <w:p w14:paraId="2CA9DC0E" w14:textId="77777777" w:rsidR="00E87FB1" w:rsidRDefault="00E87FB1" w:rsidP="00E87FB1">
      <w:pPr>
        <w:ind w:left="360"/>
        <w:rPr>
          <w:rFonts w:cs="Arial"/>
        </w:rPr>
      </w:pPr>
    </w:p>
    <w:p w14:paraId="0B6BCA06" w14:textId="77777777" w:rsidR="00E87FB1" w:rsidRDefault="00E87FB1" w:rsidP="00E87FB1">
      <w:pPr>
        <w:ind w:left="360"/>
        <w:rPr>
          <w:rFonts w:cs="Arial"/>
        </w:rPr>
      </w:pPr>
    </w:p>
    <w:p w14:paraId="7B59B27A" w14:textId="77777777" w:rsidR="00E87FB1" w:rsidRDefault="00E87FB1" w:rsidP="00E87FB1">
      <w:pPr>
        <w:pStyle w:val="xmsonormal"/>
        <w:spacing w:line="254" w:lineRule="auto"/>
        <w:ind w:left="426"/>
        <w:rPr>
          <w:rFonts w:ascii="Arial" w:hAnsi="Arial" w:cs="Arial"/>
          <w:sz w:val="22"/>
          <w:szCs w:val="22"/>
        </w:rPr>
      </w:pPr>
    </w:p>
    <w:p w14:paraId="4131FFDA" w14:textId="285260D6" w:rsidR="00E87FB1" w:rsidRPr="006B27E5" w:rsidRDefault="00E87FB1" w:rsidP="00E87FB1">
      <w:pPr>
        <w:pStyle w:val="xmsonormal"/>
        <w:spacing w:line="254" w:lineRule="auto"/>
        <w:ind w:left="426"/>
        <w:rPr>
          <w:rFonts w:ascii="Arial" w:hAnsi="Arial" w:cs="Arial"/>
          <w:sz w:val="22"/>
          <w:szCs w:val="22"/>
        </w:rPr>
      </w:pPr>
      <w:bookmarkStart w:id="0" w:name="_GoBack"/>
      <w:bookmarkEnd w:id="0"/>
      <w:r w:rsidRPr="006B27E5">
        <w:rPr>
          <w:rFonts w:ascii="Arial" w:hAnsi="Arial" w:cs="Arial"/>
          <w:sz w:val="22"/>
          <w:szCs w:val="22"/>
        </w:rPr>
        <w:t>What number of respondents* involved in grievance or B&amp;H complaints since 1</w:t>
      </w:r>
      <w:r w:rsidRPr="006B27E5">
        <w:rPr>
          <w:rFonts w:ascii="Arial" w:hAnsi="Arial" w:cs="Arial"/>
          <w:sz w:val="22"/>
          <w:szCs w:val="22"/>
          <w:vertAlign w:val="superscript"/>
        </w:rPr>
        <w:t>st</w:t>
      </w:r>
      <w:r w:rsidRPr="006B27E5">
        <w:rPr>
          <w:rFonts w:ascii="Arial" w:hAnsi="Arial" w:cs="Arial"/>
          <w:sz w:val="22"/>
          <w:szCs w:val="22"/>
        </w:rPr>
        <w:t xml:space="preserve"> April 2018, remained at the Trust, in their same role, one year after their complaint was concluded?</w:t>
      </w:r>
      <w:r>
        <w:rPr>
          <w:rFonts w:ascii="Arial" w:hAnsi="Arial" w:cs="Arial"/>
          <w:sz w:val="22"/>
          <w:szCs w:val="22"/>
        </w:rPr>
        <w:t xml:space="preserve">  </w:t>
      </w:r>
      <w:r w:rsidRPr="006B27E5">
        <w:rPr>
          <w:rFonts w:ascii="Arial" w:hAnsi="Arial" w:cs="Arial"/>
          <w:sz w:val="22"/>
          <w:szCs w:val="22"/>
        </w:rPr>
        <w:t xml:space="preserve">*respondent refers to the person who is the subject of the grievance or bullying and harassment complaint.  </w:t>
      </w:r>
    </w:p>
    <w:p w14:paraId="36312676" w14:textId="77777777" w:rsidR="00E87FB1" w:rsidRDefault="00E87FB1" w:rsidP="00E87FB1">
      <w:pPr>
        <w:ind w:left="360"/>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E87FB1" w14:paraId="2CEBF13D" w14:textId="77777777" w:rsidTr="00E87FB1">
        <w:trPr>
          <w:jc w:val="center"/>
        </w:trPr>
        <w:tc>
          <w:tcPr>
            <w:tcW w:w="9016" w:type="dxa"/>
            <w:shd w:val="clear" w:color="auto" w:fill="D9E2F3" w:themeFill="accent1" w:themeFillTint="33"/>
          </w:tcPr>
          <w:p w14:paraId="169D55A9" w14:textId="77777777" w:rsidR="00E87FB1" w:rsidRDefault="00E87FB1" w:rsidP="006B0A30">
            <w:pPr>
              <w:rPr>
                <w:rFonts w:cs="Arial"/>
              </w:rPr>
            </w:pPr>
            <w:r>
              <w:rPr>
                <w:rFonts w:cs="Arial"/>
              </w:rPr>
              <w:t>This information is not routinely collated and it is therefore not possible to provide a response to this question.</w:t>
            </w:r>
          </w:p>
        </w:tc>
      </w:tr>
    </w:tbl>
    <w:p w14:paraId="3C16F4B8" w14:textId="77777777" w:rsidR="00E87FB1" w:rsidRDefault="00E87FB1" w:rsidP="00E652A3">
      <w:pPr>
        <w:pStyle w:val="BodyCopy"/>
      </w:pPr>
    </w:p>
    <w:p w14:paraId="625CB00D" w14:textId="77777777"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w:t>
      </w:r>
      <w:proofErr w:type="gramStart"/>
      <w:r>
        <w:t>available</w:t>
      </w:r>
      <w:proofErr w:type="gramEnd"/>
      <w:r>
        <w:t xml:space="preserv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87FB1"/>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msonormal">
    <w:name w:val="x_msonormal"/>
    <w:basedOn w:val="Normal"/>
    <w:rsid w:val="00E87FB1"/>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0241C-5859-4963-BF82-7B0D476C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2023-06-19T13:23:00Z</dcterms:created>
  <dcterms:modified xsi:type="dcterms:W3CDTF">2023-06-19T13:23:00Z</dcterms:modified>
</cp:coreProperties>
</file>