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376" w:rsidRDefault="006F4376" w:rsidP="006F4376">
      <w:pPr>
        <w:jc w:val="right"/>
        <w:rPr>
          <w:rFonts w:eastAsia="Times New Roman" w:cs="Arial"/>
          <w:b/>
        </w:rPr>
      </w:pPr>
      <w:r w:rsidRPr="00FC239D">
        <w:rPr>
          <w:noProof/>
          <w:lang w:eastAsia="en-GB"/>
        </w:rPr>
        <w:drawing>
          <wp:inline distT="0" distB="0" distL="0" distR="0" wp14:anchorId="685BB243" wp14:editId="20D2A482">
            <wp:extent cx="2831909" cy="1344185"/>
            <wp:effectExtent l="0" t="0" r="6985" b="8890"/>
            <wp:docPr id="7" name="Picture 7" descr="Bedfordshire Hospital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fordshire Hospitals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076" cy="1367997"/>
                    </a:xfrm>
                    <a:prstGeom prst="rect">
                      <a:avLst/>
                    </a:prstGeom>
                    <a:noFill/>
                    <a:ln>
                      <a:noFill/>
                    </a:ln>
                  </pic:spPr>
                </pic:pic>
              </a:graphicData>
            </a:graphic>
          </wp:inline>
        </w:drawing>
      </w:r>
    </w:p>
    <w:p w:rsidR="00DF3EF1" w:rsidRDefault="00DF3EF1" w:rsidP="00DF3EF1">
      <w:pPr>
        <w:pStyle w:val="Heading1"/>
        <w:spacing w:before="0" w:after="120"/>
        <w:ind w:left="360"/>
        <w:jc w:val="right"/>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E53957" w:rsidRPr="008A4D96" w:rsidRDefault="00E53957" w:rsidP="004B2809">
      <w:pPr>
        <w:pStyle w:val="Heading1"/>
        <w:spacing w:before="0" w:after="120"/>
        <w:ind w:left="360"/>
        <w:jc w:val="center"/>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A4D96">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GENDER PAY GAP REPORT</w:t>
      </w:r>
      <w:r w:rsidR="0025081F" w:rsidRPr="008A4D96">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7581C">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166456">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0067581C">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E53957" w:rsidRPr="008A4D96" w:rsidRDefault="0025081F" w:rsidP="004B2809">
      <w:pPr>
        <w:pStyle w:val="Heading1"/>
        <w:spacing w:before="0" w:after="120"/>
        <w:ind w:left="360"/>
        <w:jc w:val="center"/>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A4D96">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Data as </w:t>
      </w:r>
      <w:r w:rsidR="00E53957" w:rsidRPr="008A4D96">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at 31st March 20</w:t>
      </w:r>
      <w:r w:rsidR="008A4D96">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166456">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p w:rsidR="0025081F" w:rsidRPr="008919FA" w:rsidRDefault="0025081F" w:rsidP="0025081F">
      <w:pPr>
        <w:rPr>
          <w:sz w:val="16"/>
          <w:szCs w:val="16"/>
        </w:rPr>
      </w:pPr>
    </w:p>
    <w:p w:rsidR="00820320" w:rsidRPr="008A4D96" w:rsidRDefault="00AB6808" w:rsidP="004B2809">
      <w:pPr>
        <w:pStyle w:val="Heading1"/>
        <w:spacing w:before="0" w:after="120"/>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A4D96">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Introduction</w:t>
      </w:r>
      <w:r w:rsidR="00820320" w:rsidRPr="008A4D96">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to Gender Pay Reporting </w:t>
      </w:r>
    </w:p>
    <w:p w:rsidR="0040566D" w:rsidRPr="00A6305A" w:rsidRDefault="008919FA" w:rsidP="004C6429">
      <w:pPr>
        <w:autoSpaceDE w:val="0"/>
        <w:autoSpaceDN w:val="0"/>
        <w:adjustRightInd w:val="0"/>
        <w:spacing w:after="120"/>
        <w:rPr>
          <w:rFonts w:ascii="Arial" w:hAnsi="Arial" w:cs="Arial"/>
          <w:color w:val="000000" w:themeColor="text1"/>
        </w:rPr>
      </w:pPr>
      <w:r>
        <w:rPr>
          <w:rFonts w:ascii="Arial" w:hAnsi="Arial" w:cs="Arial"/>
          <w:color w:val="000000"/>
        </w:rPr>
        <w:t xml:space="preserve">Since 2017, </w:t>
      </w:r>
      <w:r w:rsidR="00EA7748">
        <w:rPr>
          <w:rFonts w:ascii="Arial" w:hAnsi="Arial" w:cs="Arial"/>
          <w:color w:val="000000"/>
        </w:rPr>
        <w:t xml:space="preserve">Gender Pay Gap Legislation </w:t>
      </w:r>
      <w:r w:rsidR="00DF3EF1">
        <w:rPr>
          <w:rFonts w:ascii="Arial" w:hAnsi="Arial" w:cs="Arial"/>
          <w:color w:val="000000"/>
        </w:rPr>
        <w:t xml:space="preserve">mandates </w:t>
      </w:r>
      <w:r w:rsidR="006D2759">
        <w:rPr>
          <w:rFonts w:ascii="Arial" w:hAnsi="Arial" w:cs="Arial"/>
          <w:color w:val="000000"/>
        </w:rPr>
        <w:t xml:space="preserve">that </w:t>
      </w:r>
      <w:r w:rsidR="00DF3EF1">
        <w:rPr>
          <w:rFonts w:ascii="Arial" w:hAnsi="Arial" w:cs="Arial"/>
          <w:color w:val="000000"/>
        </w:rPr>
        <w:t>al</w:t>
      </w:r>
      <w:r w:rsidR="00EA7748">
        <w:rPr>
          <w:rFonts w:ascii="Arial" w:hAnsi="Arial" w:cs="Arial"/>
          <w:color w:val="000000"/>
        </w:rPr>
        <w:t xml:space="preserve">l employers </w:t>
      </w:r>
      <w:r>
        <w:rPr>
          <w:rFonts w:ascii="Arial" w:hAnsi="Arial" w:cs="Arial"/>
          <w:color w:val="000000"/>
        </w:rPr>
        <w:t xml:space="preserve">with </w:t>
      </w:r>
      <w:r w:rsidR="00703045">
        <w:rPr>
          <w:rFonts w:ascii="Arial" w:hAnsi="Arial" w:cs="Arial"/>
          <w:color w:val="000000"/>
        </w:rPr>
        <w:t>250 plus</w:t>
      </w:r>
      <w:r w:rsidR="00EA7748">
        <w:rPr>
          <w:rFonts w:ascii="Arial" w:hAnsi="Arial" w:cs="Arial"/>
          <w:color w:val="000000"/>
        </w:rPr>
        <w:t xml:space="preserve"> employees </w:t>
      </w:r>
      <w:r w:rsidR="006D2759">
        <w:rPr>
          <w:rFonts w:ascii="Arial" w:hAnsi="Arial" w:cs="Arial"/>
          <w:color w:val="000000"/>
        </w:rPr>
        <w:t xml:space="preserve">will </w:t>
      </w:r>
      <w:r w:rsidR="00EA7748">
        <w:rPr>
          <w:rFonts w:ascii="Arial" w:hAnsi="Arial" w:cs="Arial"/>
          <w:color w:val="000000"/>
        </w:rPr>
        <w:t xml:space="preserve">capture and analyse </w:t>
      </w:r>
      <w:r w:rsidR="00ED581F">
        <w:rPr>
          <w:rFonts w:ascii="Arial" w:hAnsi="Arial" w:cs="Arial"/>
          <w:color w:val="000000"/>
        </w:rPr>
        <w:t xml:space="preserve">specific </w:t>
      </w:r>
      <w:r w:rsidR="00EA7748">
        <w:rPr>
          <w:rFonts w:ascii="Arial" w:hAnsi="Arial" w:cs="Arial"/>
          <w:color w:val="000000"/>
        </w:rPr>
        <w:t>data and publish an Annual Gender Pay Gap Report</w:t>
      </w:r>
      <w:r w:rsidR="0083719D">
        <w:rPr>
          <w:rFonts w:ascii="Arial" w:hAnsi="Arial" w:cs="Arial"/>
          <w:color w:val="000000"/>
        </w:rPr>
        <w:t xml:space="preserve">. </w:t>
      </w:r>
      <w:r w:rsidR="0083719D">
        <w:rPr>
          <w:rStyle w:val="FootnoteReference"/>
          <w:rFonts w:ascii="Arial" w:hAnsi="Arial" w:cs="Arial"/>
          <w:color w:val="000000"/>
        </w:rPr>
        <w:footnoteReference w:id="1"/>
      </w:r>
      <w:r w:rsidR="004C6429">
        <w:rPr>
          <w:rFonts w:ascii="Arial" w:hAnsi="Arial" w:cs="Arial"/>
          <w:color w:val="000000"/>
        </w:rPr>
        <w:t xml:space="preserve"> </w:t>
      </w:r>
      <w:r w:rsidR="00CC3869">
        <w:rPr>
          <w:rFonts w:ascii="Arial" w:hAnsi="Arial" w:cs="Arial"/>
          <w:color w:val="000000"/>
        </w:rPr>
        <w:t>The l</w:t>
      </w:r>
      <w:r w:rsidR="00476CF4">
        <w:rPr>
          <w:rFonts w:ascii="Arial" w:hAnsi="Arial" w:cs="Arial"/>
          <w:color w:val="000000"/>
        </w:rPr>
        <w:t xml:space="preserve">egislation </w:t>
      </w:r>
      <w:r w:rsidR="00207D62">
        <w:rPr>
          <w:rFonts w:ascii="Arial" w:hAnsi="Arial" w:cs="Arial"/>
          <w:color w:val="000000"/>
        </w:rPr>
        <w:t xml:space="preserve">was necessary </w:t>
      </w:r>
      <w:r w:rsidR="00DE3C95">
        <w:rPr>
          <w:rFonts w:ascii="Arial" w:hAnsi="Arial" w:cs="Arial"/>
          <w:color w:val="000000"/>
        </w:rPr>
        <w:t>even though</w:t>
      </w:r>
      <w:r w:rsidR="003811A0">
        <w:rPr>
          <w:rFonts w:ascii="Arial" w:hAnsi="Arial" w:cs="Arial"/>
          <w:color w:val="000000"/>
        </w:rPr>
        <w:t xml:space="preserve"> 2017 marked 42 years since the Sex Discrimination Act 1975 </w:t>
      </w:r>
      <w:r w:rsidR="00703045">
        <w:rPr>
          <w:rFonts w:ascii="Arial" w:hAnsi="Arial" w:cs="Arial"/>
          <w:color w:val="000000"/>
        </w:rPr>
        <w:t>made</w:t>
      </w:r>
      <w:r w:rsidR="00EA7748">
        <w:rPr>
          <w:rFonts w:ascii="Arial" w:hAnsi="Arial" w:cs="Arial"/>
          <w:color w:val="000000"/>
        </w:rPr>
        <w:t xml:space="preserve"> </w:t>
      </w:r>
      <w:r w:rsidR="00C85E98">
        <w:rPr>
          <w:rFonts w:ascii="Arial" w:hAnsi="Arial" w:cs="Arial"/>
          <w:color w:val="000000"/>
        </w:rPr>
        <w:t xml:space="preserve">provision for </w:t>
      </w:r>
      <w:r w:rsidR="003811A0">
        <w:rPr>
          <w:rFonts w:ascii="Arial" w:hAnsi="Arial" w:cs="Arial"/>
          <w:color w:val="000000"/>
        </w:rPr>
        <w:t xml:space="preserve">Gender </w:t>
      </w:r>
      <w:r w:rsidR="00DE3C95">
        <w:rPr>
          <w:rFonts w:ascii="Arial" w:hAnsi="Arial" w:cs="Arial"/>
          <w:color w:val="000000"/>
        </w:rPr>
        <w:t>Equality in the work place</w:t>
      </w:r>
      <w:r w:rsidR="00207D62">
        <w:rPr>
          <w:rFonts w:ascii="Arial" w:hAnsi="Arial" w:cs="Arial"/>
          <w:color w:val="000000"/>
        </w:rPr>
        <w:t>. This is because w</w:t>
      </w:r>
      <w:r w:rsidR="003811A0">
        <w:rPr>
          <w:rFonts w:ascii="Arial" w:hAnsi="Arial" w:cs="Arial"/>
          <w:color w:val="000000"/>
        </w:rPr>
        <w:t>omen still face long term inequalities and are disadvantaged by unfair or lesser treatment</w:t>
      </w:r>
      <w:r w:rsidR="00F175DD" w:rsidRPr="00A6305A">
        <w:rPr>
          <w:rFonts w:ascii="Arial" w:hAnsi="Arial" w:cs="Arial"/>
          <w:color w:val="000000" w:themeColor="text1"/>
        </w:rPr>
        <w:t>.</w:t>
      </w:r>
      <w:r w:rsidR="00D536E2">
        <w:rPr>
          <w:rFonts w:ascii="Arial" w:hAnsi="Arial" w:cs="Arial"/>
          <w:color w:val="000000" w:themeColor="text1"/>
        </w:rPr>
        <w:t xml:space="preserve"> </w:t>
      </w:r>
      <w:r w:rsidR="0040566D">
        <w:rPr>
          <w:rFonts w:ascii="Arial" w:hAnsi="Arial" w:cs="Arial"/>
          <w:color w:val="000000" w:themeColor="text1"/>
        </w:rPr>
        <w:t xml:space="preserve">This reporting provision is also relevant to application of the Public Sector Equality Duty and </w:t>
      </w:r>
      <w:r w:rsidR="00703045">
        <w:rPr>
          <w:rFonts w:ascii="Arial" w:hAnsi="Arial" w:cs="Arial"/>
          <w:color w:val="000000" w:themeColor="text1"/>
        </w:rPr>
        <w:t xml:space="preserve">the </w:t>
      </w:r>
      <w:r w:rsidR="0040566D">
        <w:rPr>
          <w:rFonts w:ascii="Arial" w:hAnsi="Arial" w:cs="Arial"/>
          <w:color w:val="000000" w:themeColor="text1"/>
        </w:rPr>
        <w:t>NHS Contract.</w:t>
      </w:r>
    </w:p>
    <w:p w:rsidR="00F175DD" w:rsidRPr="00A6305A" w:rsidRDefault="00F175DD" w:rsidP="00DE3C95">
      <w:pPr>
        <w:autoSpaceDE w:val="0"/>
        <w:autoSpaceDN w:val="0"/>
        <w:adjustRightInd w:val="0"/>
        <w:spacing w:after="0"/>
        <w:rPr>
          <w:rFonts w:ascii="Arial" w:hAnsi="Arial" w:cs="Arial"/>
          <w:color w:val="000000" w:themeColor="text1"/>
        </w:rPr>
      </w:pPr>
    </w:p>
    <w:p w:rsidR="00943670" w:rsidRPr="008A4D96" w:rsidRDefault="00943670" w:rsidP="00943670">
      <w:pPr>
        <w:pStyle w:val="Heading1"/>
        <w:spacing w:before="0" w:after="120"/>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A4D96">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Publication Requirements </w:t>
      </w:r>
    </w:p>
    <w:p w:rsidR="007264AC" w:rsidRDefault="00EA7748" w:rsidP="00943670">
      <w:pPr>
        <w:autoSpaceDE w:val="0"/>
        <w:autoSpaceDN w:val="0"/>
        <w:adjustRightInd w:val="0"/>
        <w:spacing w:after="0"/>
        <w:rPr>
          <w:rFonts w:ascii="Arial" w:hAnsi="Arial" w:cs="Arial"/>
        </w:rPr>
      </w:pPr>
      <w:r>
        <w:rPr>
          <w:rFonts w:ascii="Arial" w:hAnsi="Arial" w:cs="Arial"/>
          <w:color w:val="000000"/>
        </w:rPr>
        <w:t>Th</w:t>
      </w:r>
      <w:r w:rsidR="0083719D">
        <w:rPr>
          <w:rFonts w:ascii="Arial" w:hAnsi="Arial" w:cs="Arial"/>
          <w:color w:val="000000"/>
        </w:rPr>
        <w:t xml:space="preserve">is </w:t>
      </w:r>
      <w:r w:rsidR="006D2759">
        <w:rPr>
          <w:rFonts w:ascii="Arial" w:hAnsi="Arial" w:cs="Arial"/>
          <w:color w:val="000000"/>
        </w:rPr>
        <w:t xml:space="preserve">will be the </w:t>
      </w:r>
      <w:r w:rsidR="00166456">
        <w:rPr>
          <w:rFonts w:ascii="Arial" w:hAnsi="Arial" w:cs="Arial"/>
          <w:color w:val="000000"/>
        </w:rPr>
        <w:t>6</w:t>
      </w:r>
      <w:r w:rsidR="006D2759" w:rsidRPr="006D2759">
        <w:rPr>
          <w:rFonts w:ascii="Arial" w:hAnsi="Arial" w:cs="Arial"/>
          <w:color w:val="000000"/>
          <w:vertAlign w:val="superscript"/>
        </w:rPr>
        <w:t>th</w:t>
      </w:r>
      <w:r w:rsidR="006D2759">
        <w:rPr>
          <w:rFonts w:ascii="Arial" w:hAnsi="Arial" w:cs="Arial"/>
          <w:color w:val="000000"/>
        </w:rPr>
        <w:t xml:space="preserve"> year of Gender Pay Gap Reporting. </w:t>
      </w:r>
      <w:r w:rsidR="008919FA">
        <w:rPr>
          <w:rFonts w:ascii="Arial" w:hAnsi="Arial" w:cs="Arial"/>
          <w:color w:val="000000"/>
        </w:rPr>
        <w:t>Specific data is up</w:t>
      </w:r>
      <w:r w:rsidR="00391E88">
        <w:rPr>
          <w:rFonts w:ascii="Arial" w:hAnsi="Arial" w:cs="Arial"/>
          <w:color w:val="000000"/>
        </w:rPr>
        <w:t>-</w:t>
      </w:r>
      <w:r w:rsidR="008919FA">
        <w:rPr>
          <w:rFonts w:ascii="Arial" w:hAnsi="Arial" w:cs="Arial"/>
          <w:color w:val="000000"/>
        </w:rPr>
        <w:t xml:space="preserve">loaded to a UK Government website, and the report is </w:t>
      </w:r>
      <w:r w:rsidR="00DE3C95">
        <w:rPr>
          <w:rFonts w:ascii="Arial" w:hAnsi="Arial" w:cs="Arial"/>
          <w:color w:val="000000"/>
        </w:rPr>
        <w:t xml:space="preserve">published transparently on the </w:t>
      </w:r>
      <w:r w:rsidR="00ED581F">
        <w:rPr>
          <w:rFonts w:ascii="Arial" w:hAnsi="Arial" w:cs="Arial"/>
          <w:color w:val="000000"/>
        </w:rPr>
        <w:t xml:space="preserve">Trust’s </w:t>
      </w:r>
      <w:r w:rsidR="00DE3C95">
        <w:rPr>
          <w:rFonts w:ascii="Arial" w:hAnsi="Arial" w:cs="Arial"/>
          <w:color w:val="000000"/>
        </w:rPr>
        <w:t>website</w:t>
      </w:r>
      <w:r w:rsidR="00ED581F">
        <w:rPr>
          <w:rFonts w:ascii="Arial" w:hAnsi="Arial" w:cs="Arial"/>
          <w:color w:val="000000"/>
        </w:rPr>
        <w:t xml:space="preserve">, </w:t>
      </w:r>
      <w:r w:rsidR="008919FA">
        <w:rPr>
          <w:rFonts w:ascii="Arial" w:hAnsi="Arial" w:cs="Arial"/>
          <w:color w:val="000000"/>
        </w:rPr>
        <w:t xml:space="preserve">to ensure </w:t>
      </w:r>
      <w:r w:rsidR="007264AC" w:rsidRPr="00943670">
        <w:rPr>
          <w:rFonts w:ascii="Arial" w:hAnsi="Arial" w:cs="Arial"/>
        </w:rPr>
        <w:t xml:space="preserve">that the </w:t>
      </w:r>
      <w:r w:rsidR="00703045">
        <w:rPr>
          <w:rFonts w:ascii="Arial" w:hAnsi="Arial" w:cs="Arial"/>
        </w:rPr>
        <w:t xml:space="preserve">results are </w:t>
      </w:r>
      <w:r w:rsidR="007264AC" w:rsidRPr="00943670">
        <w:rPr>
          <w:rFonts w:ascii="Arial" w:hAnsi="Arial" w:cs="Arial"/>
        </w:rPr>
        <w:t xml:space="preserve">publicly available to stakeholders, employees </w:t>
      </w:r>
      <w:r w:rsidR="00703045">
        <w:rPr>
          <w:rFonts w:ascii="Arial" w:hAnsi="Arial" w:cs="Arial"/>
        </w:rPr>
        <w:t>or</w:t>
      </w:r>
      <w:r w:rsidR="007264AC" w:rsidRPr="00943670">
        <w:rPr>
          <w:rFonts w:ascii="Arial" w:hAnsi="Arial" w:cs="Arial"/>
        </w:rPr>
        <w:t xml:space="preserve"> potential recruits.  </w:t>
      </w:r>
    </w:p>
    <w:p w:rsidR="00A87940" w:rsidRPr="00A87940" w:rsidRDefault="00A87940" w:rsidP="006D2759">
      <w:pPr>
        <w:pStyle w:val="Heading1"/>
        <w:spacing w:before="0" w:after="120"/>
        <w:rPr>
          <w:rFonts w:ascii="Arial" w:hAnsi="Arial" w:cs="Arial"/>
          <w:color w:val="auto"/>
          <w:sz w:val="16"/>
          <w:szCs w:val="16"/>
        </w:rPr>
      </w:pPr>
    </w:p>
    <w:p w:rsidR="006D2759" w:rsidRDefault="006D2759" w:rsidP="006D2759">
      <w:pPr>
        <w:pStyle w:val="Heading1"/>
        <w:spacing w:before="0" w:after="120"/>
        <w:rPr>
          <w:rFonts w:ascii="Arial" w:hAnsi="Arial" w:cs="Arial"/>
          <w:color w:val="auto"/>
        </w:rPr>
      </w:pPr>
      <w:r>
        <w:rPr>
          <w:rFonts w:ascii="Arial" w:hAnsi="Arial" w:cs="Arial"/>
          <w:color w:val="auto"/>
        </w:rPr>
        <w:t>Bedfordshire Hospitals NHS Foundation Trust BHFT</w:t>
      </w:r>
    </w:p>
    <w:p w:rsidR="006D2759" w:rsidRPr="008A4D96" w:rsidRDefault="00166456" w:rsidP="006D2759">
      <w:pPr>
        <w:pStyle w:val="Heading1"/>
        <w:spacing w:before="0" w:after="120"/>
        <w:rPr>
          <w:rFonts w:ascii="Arial" w:hAnsi="Arial" w:cs="Arial"/>
          <w:b w:val="0"/>
          <w:color w:val="auto"/>
          <w:sz w:val="22"/>
          <w:szCs w:val="22"/>
        </w:rPr>
      </w:pPr>
      <w:r>
        <w:rPr>
          <w:rFonts w:ascii="Arial" w:hAnsi="Arial" w:cs="Arial"/>
          <w:b w:val="0"/>
          <w:color w:val="auto"/>
          <w:sz w:val="22"/>
          <w:szCs w:val="22"/>
        </w:rPr>
        <w:t xml:space="preserve">On the </w:t>
      </w:r>
      <w:r w:rsidR="006D2759" w:rsidRPr="008A4D96">
        <w:rPr>
          <w:rFonts w:ascii="Arial" w:hAnsi="Arial" w:cs="Arial"/>
          <w:b w:val="0"/>
          <w:color w:val="auto"/>
          <w:sz w:val="22"/>
          <w:szCs w:val="22"/>
        </w:rPr>
        <w:t>1</w:t>
      </w:r>
      <w:r w:rsidR="006D2759" w:rsidRPr="008A4D96">
        <w:rPr>
          <w:rFonts w:ascii="Arial" w:hAnsi="Arial" w:cs="Arial"/>
          <w:b w:val="0"/>
          <w:color w:val="auto"/>
          <w:sz w:val="22"/>
          <w:szCs w:val="22"/>
          <w:vertAlign w:val="superscript"/>
        </w:rPr>
        <w:t>st</w:t>
      </w:r>
      <w:r w:rsidR="006D2759" w:rsidRPr="008A4D96">
        <w:rPr>
          <w:rFonts w:ascii="Arial" w:hAnsi="Arial" w:cs="Arial"/>
          <w:b w:val="0"/>
          <w:color w:val="auto"/>
          <w:sz w:val="22"/>
          <w:szCs w:val="22"/>
        </w:rPr>
        <w:t xml:space="preserve"> April 2020, Luton &amp; Dunstable and Bedford Hospitals merged to form the Bedfordshire Hospitals NHS Foundation Trust BHFT</w:t>
      </w:r>
      <w:r w:rsidR="006D2759">
        <w:rPr>
          <w:rFonts w:ascii="Arial" w:hAnsi="Arial" w:cs="Arial"/>
          <w:b w:val="0"/>
          <w:color w:val="auto"/>
          <w:sz w:val="22"/>
          <w:szCs w:val="22"/>
        </w:rPr>
        <w:t>. Th</w:t>
      </w:r>
      <w:r>
        <w:rPr>
          <w:rFonts w:ascii="Arial" w:hAnsi="Arial" w:cs="Arial"/>
          <w:b w:val="0"/>
          <w:color w:val="auto"/>
          <w:sz w:val="22"/>
          <w:szCs w:val="22"/>
        </w:rPr>
        <w:t>is r</w:t>
      </w:r>
      <w:r w:rsidR="006D2759">
        <w:rPr>
          <w:rFonts w:ascii="Arial" w:hAnsi="Arial" w:cs="Arial"/>
          <w:b w:val="0"/>
          <w:color w:val="auto"/>
          <w:sz w:val="22"/>
          <w:szCs w:val="22"/>
        </w:rPr>
        <w:t>eport this year covers data for year end March 202</w:t>
      </w:r>
      <w:r>
        <w:rPr>
          <w:rFonts w:ascii="Arial" w:hAnsi="Arial" w:cs="Arial"/>
          <w:b w:val="0"/>
          <w:color w:val="auto"/>
          <w:sz w:val="22"/>
          <w:szCs w:val="22"/>
        </w:rPr>
        <w:t>2 and is the 2</w:t>
      </w:r>
      <w:r w:rsidRPr="00166456">
        <w:rPr>
          <w:rFonts w:ascii="Arial" w:hAnsi="Arial" w:cs="Arial"/>
          <w:b w:val="0"/>
          <w:color w:val="auto"/>
          <w:sz w:val="22"/>
          <w:szCs w:val="22"/>
          <w:vertAlign w:val="superscript"/>
        </w:rPr>
        <w:t>nd</w:t>
      </w:r>
      <w:r>
        <w:rPr>
          <w:rFonts w:ascii="Arial" w:hAnsi="Arial" w:cs="Arial"/>
          <w:b w:val="0"/>
          <w:color w:val="auto"/>
          <w:sz w:val="22"/>
          <w:szCs w:val="22"/>
        </w:rPr>
        <w:t xml:space="preserve"> BHFT </w:t>
      </w:r>
      <w:r w:rsidR="006D2759">
        <w:rPr>
          <w:rFonts w:ascii="Arial" w:hAnsi="Arial" w:cs="Arial"/>
          <w:b w:val="0"/>
          <w:color w:val="auto"/>
          <w:sz w:val="22"/>
          <w:szCs w:val="22"/>
        </w:rPr>
        <w:t xml:space="preserve">report </w:t>
      </w:r>
      <w:r>
        <w:rPr>
          <w:rFonts w:ascii="Arial" w:hAnsi="Arial" w:cs="Arial"/>
          <w:b w:val="0"/>
          <w:color w:val="auto"/>
          <w:sz w:val="22"/>
          <w:szCs w:val="22"/>
        </w:rPr>
        <w:t xml:space="preserve">with </w:t>
      </w:r>
      <w:r w:rsidR="006D2759">
        <w:rPr>
          <w:rFonts w:ascii="Arial" w:hAnsi="Arial" w:cs="Arial"/>
          <w:b w:val="0"/>
          <w:color w:val="auto"/>
          <w:sz w:val="22"/>
          <w:szCs w:val="22"/>
        </w:rPr>
        <w:t xml:space="preserve">Trust wide results. </w:t>
      </w:r>
      <w:r>
        <w:rPr>
          <w:rFonts w:ascii="Arial" w:hAnsi="Arial" w:cs="Arial"/>
          <w:b w:val="0"/>
          <w:color w:val="auto"/>
          <w:sz w:val="22"/>
          <w:szCs w:val="22"/>
        </w:rPr>
        <w:t xml:space="preserve">Some </w:t>
      </w:r>
      <w:r w:rsidR="006D2759">
        <w:rPr>
          <w:rFonts w:ascii="Arial" w:hAnsi="Arial" w:cs="Arial"/>
          <w:b w:val="0"/>
          <w:color w:val="auto"/>
          <w:sz w:val="22"/>
          <w:szCs w:val="22"/>
        </w:rPr>
        <w:t xml:space="preserve">site specific </w:t>
      </w:r>
      <w:r>
        <w:rPr>
          <w:rFonts w:ascii="Arial" w:hAnsi="Arial" w:cs="Arial"/>
          <w:b w:val="0"/>
          <w:color w:val="auto"/>
          <w:sz w:val="22"/>
          <w:szCs w:val="22"/>
        </w:rPr>
        <w:t xml:space="preserve">data is covered </w:t>
      </w:r>
      <w:r w:rsidR="006D2759">
        <w:rPr>
          <w:rFonts w:ascii="Arial" w:hAnsi="Arial" w:cs="Arial"/>
          <w:b w:val="0"/>
          <w:color w:val="auto"/>
          <w:sz w:val="22"/>
          <w:szCs w:val="22"/>
        </w:rPr>
        <w:t xml:space="preserve">to ensure any differing results can be addressed.  </w:t>
      </w:r>
    </w:p>
    <w:p w:rsidR="0025081F" w:rsidRDefault="0025081F" w:rsidP="00943670">
      <w:pPr>
        <w:autoSpaceDE w:val="0"/>
        <w:autoSpaceDN w:val="0"/>
        <w:adjustRightInd w:val="0"/>
        <w:spacing w:after="0"/>
        <w:rPr>
          <w:rFonts w:ascii="Arial" w:hAnsi="Arial" w:cs="Arial"/>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4"/>
      </w:tblGrid>
      <w:tr w:rsidR="0025081F" w:rsidTr="0025081F">
        <w:trPr>
          <w:trHeight w:val="173"/>
        </w:trPr>
        <w:tc>
          <w:tcPr>
            <w:tcW w:w="9084" w:type="dxa"/>
          </w:tcPr>
          <w:p w:rsidR="0025081F" w:rsidRPr="0025081F" w:rsidRDefault="0025081F" w:rsidP="00166456">
            <w:pPr>
              <w:pStyle w:val="Heading1"/>
              <w:spacing w:before="0" w:after="120"/>
              <w:rPr>
                <w:rFonts w:ascii="Arial" w:hAnsi="Arial" w:cs="Arial"/>
                <w:color w:val="auto"/>
                <w:sz w:val="24"/>
                <w:szCs w:val="24"/>
              </w:rPr>
            </w:pPr>
            <w:r>
              <w:rPr>
                <w:rFonts w:ascii="Arial" w:hAnsi="Arial" w:cs="Arial"/>
                <w:color w:val="auto"/>
                <w:sz w:val="24"/>
                <w:szCs w:val="24"/>
              </w:rPr>
              <w:t xml:space="preserve">This </w:t>
            </w:r>
            <w:r w:rsidRPr="0025081F">
              <w:rPr>
                <w:rFonts w:ascii="Arial" w:hAnsi="Arial" w:cs="Arial"/>
                <w:color w:val="auto"/>
                <w:sz w:val="24"/>
                <w:szCs w:val="24"/>
              </w:rPr>
              <w:t xml:space="preserve">GENDER PAY GAP REPORT </w:t>
            </w:r>
            <w:r w:rsidR="006D2759">
              <w:rPr>
                <w:rFonts w:ascii="Arial" w:hAnsi="Arial" w:cs="Arial"/>
                <w:color w:val="auto"/>
                <w:sz w:val="24"/>
                <w:szCs w:val="24"/>
              </w:rPr>
              <w:t>202</w:t>
            </w:r>
            <w:r w:rsidR="00166456">
              <w:rPr>
                <w:rFonts w:ascii="Arial" w:hAnsi="Arial" w:cs="Arial"/>
                <w:color w:val="auto"/>
                <w:sz w:val="24"/>
                <w:szCs w:val="24"/>
              </w:rPr>
              <w:t>3</w:t>
            </w:r>
            <w:r w:rsidR="006D2759">
              <w:rPr>
                <w:rFonts w:ascii="Arial" w:hAnsi="Arial" w:cs="Arial"/>
                <w:color w:val="auto"/>
                <w:sz w:val="24"/>
                <w:szCs w:val="24"/>
              </w:rPr>
              <w:t xml:space="preserve"> </w:t>
            </w:r>
            <w:r>
              <w:rPr>
                <w:rFonts w:ascii="Arial" w:hAnsi="Arial" w:cs="Arial"/>
                <w:color w:val="auto"/>
                <w:sz w:val="24"/>
                <w:szCs w:val="24"/>
              </w:rPr>
              <w:t xml:space="preserve">- </w:t>
            </w:r>
            <w:r w:rsidRPr="0025081F">
              <w:rPr>
                <w:rFonts w:ascii="Arial" w:hAnsi="Arial" w:cs="Arial"/>
                <w:color w:val="auto"/>
                <w:sz w:val="24"/>
                <w:szCs w:val="24"/>
              </w:rPr>
              <w:t>Data as at 31st March 20</w:t>
            </w:r>
            <w:r w:rsidR="00166456">
              <w:rPr>
                <w:rFonts w:ascii="Arial" w:hAnsi="Arial" w:cs="Arial"/>
                <w:color w:val="auto"/>
                <w:sz w:val="24"/>
                <w:szCs w:val="24"/>
              </w:rPr>
              <w:t>22</w:t>
            </w:r>
          </w:p>
        </w:tc>
      </w:tr>
      <w:tr w:rsidR="0025081F" w:rsidTr="0025081F">
        <w:trPr>
          <w:trHeight w:val="354"/>
        </w:trPr>
        <w:tc>
          <w:tcPr>
            <w:tcW w:w="9084" w:type="dxa"/>
          </w:tcPr>
          <w:p w:rsidR="001A3A2A" w:rsidRDefault="0025081F" w:rsidP="00943670">
            <w:pPr>
              <w:autoSpaceDE w:val="0"/>
              <w:autoSpaceDN w:val="0"/>
              <w:adjustRightInd w:val="0"/>
              <w:spacing w:after="0"/>
              <w:rPr>
                <w:rFonts w:ascii="Arial" w:hAnsi="Arial" w:cs="Arial"/>
              </w:rPr>
            </w:pPr>
            <w:r>
              <w:rPr>
                <w:rFonts w:ascii="Arial" w:hAnsi="Arial" w:cs="Arial"/>
              </w:rPr>
              <w:t xml:space="preserve">Signed and Approved for Publication by </w:t>
            </w:r>
            <w:r w:rsidR="001A3A2A">
              <w:rPr>
                <w:rFonts w:ascii="Arial" w:hAnsi="Arial" w:cs="Arial"/>
              </w:rPr>
              <w:t>–</w:t>
            </w:r>
            <w:r>
              <w:rPr>
                <w:rFonts w:ascii="Arial" w:hAnsi="Arial" w:cs="Arial"/>
              </w:rPr>
              <w:t xml:space="preserve"> </w:t>
            </w:r>
            <w:r w:rsidR="00BE4D13">
              <w:rPr>
                <w:rFonts w:ascii="Arial" w:hAnsi="Arial" w:cs="Arial"/>
              </w:rPr>
              <w:t>David Carter</w:t>
            </w:r>
            <w:bookmarkStart w:id="0" w:name="_GoBack"/>
            <w:bookmarkEnd w:id="0"/>
          </w:p>
        </w:tc>
      </w:tr>
      <w:tr w:rsidR="0025081F" w:rsidTr="0025081F">
        <w:trPr>
          <w:trHeight w:val="325"/>
        </w:trPr>
        <w:tc>
          <w:tcPr>
            <w:tcW w:w="9084" w:type="dxa"/>
          </w:tcPr>
          <w:p w:rsidR="0025081F" w:rsidRDefault="0025081F" w:rsidP="00943670">
            <w:pPr>
              <w:autoSpaceDE w:val="0"/>
              <w:autoSpaceDN w:val="0"/>
              <w:adjustRightInd w:val="0"/>
              <w:spacing w:after="0"/>
              <w:rPr>
                <w:rFonts w:ascii="Arial" w:hAnsi="Arial" w:cs="Arial"/>
              </w:rPr>
            </w:pPr>
            <w:r>
              <w:rPr>
                <w:rFonts w:ascii="Arial" w:hAnsi="Arial" w:cs="Arial"/>
              </w:rPr>
              <w:t xml:space="preserve">Role in the Organisation </w:t>
            </w:r>
            <w:r w:rsidR="001A3A2A">
              <w:rPr>
                <w:rFonts w:ascii="Arial" w:hAnsi="Arial" w:cs="Arial"/>
              </w:rPr>
              <w:t>– Chief Executive Officer</w:t>
            </w:r>
          </w:p>
        </w:tc>
      </w:tr>
      <w:tr w:rsidR="0025081F" w:rsidTr="0025081F">
        <w:trPr>
          <w:trHeight w:val="325"/>
        </w:trPr>
        <w:tc>
          <w:tcPr>
            <w:tcW w:w="9084" w:type="dxa"/>
          </w:tcPr>
          <w:p w:rsidR="00EF675C" w:rsidRDefault="0025081F" w:rsidP="008C4641">
            <w:pPr>
              <w:autoSpaceDE w:val="0"/>
              <w:autoSpaceDN w:val="0"/>
              <w:adjustRightInd w:val="0"/>
              <w:spacing w:after="0"/>
              <w:rPr>
                <w:rFonts w:ascii="Arial" w:hAnsi="Arial" w:cs="Arial"/>
              </w:rPr>
            </w:pPr>
            <w:r>
              <w:rPr>
                <w:rFonts w:ascii="Arial" w:hAnsi="Arial" w:cs="Arial"/>
              </w:rPr>
              <w:t xml:space="preserve">Date </w:t>
            </w:r>
            <w:r w:rsidR="001A3A2A">
              <w:rPr>
                <w:rFonts w:ascii="Arial" w:hAnsi="Arial" w:cs="Arial"/>
              </w:rPr>
              <w:t>–</w:t>
            </w:r>
            <w:r>
              <w:rPr>
                <w:rFonts w:ascii="Arial" w:hAnsi="Arial" w:cs="Arial"/>
              </w:rPr>
              <w:t xml:space="preserve"> </w:t>
            </w:r>
            <w:r w:rsidR="00EF675C">
              <w:rPr>
                <w:rFonts w:ascii="Arial" w:hAnsi="Arial" w:cs="Arial"/>
              </w:rPr>
              <w:t xml:space="preserve"> 28</w:t>
            </w:r>
            <w:r w:rsidR="00EF675C" w:rsidRPr="00EF675C">
              <w:rPr>
                <w:rFonts w:ascii="Arial" w:hAnsi="Arial" w:cs="Arial"/>
                <w:vertAlign w:val="superscript"/>
              </w:rPr>
              <w:t>th</w:t>
            </w:r>
            <w:r w:rsidR="00EF675C">
              <w:rPr>
                <w:rFonts w:ascii="Arial" w:hAnsi="Arial" w:cs="Arial"/>
              </w:rPr>
              <w:t xml:space="preserve"> March 2023</w:t>
            </w:r>
          </w:p>
        </w:tc>
      </w:tr>
    </w:tbl>
    <w:p w:rsidR="0025081F" w:rsidRPr="008919FA" w:rsidRDefault="0025081F" w:rsidP="00943670">
      <w:pPr>
        <w:autoSpaceDE w:val="0"/>
        <w:autoSpaceDN w:val="0"/>
        <w:adjustRightInd w:val="0"/>
        <w:spacing w:after="0"/>
        <w:rPr>
          <w:rFonts w:ascii="Arial" w:hAnsi="Arial" w:cs="Arial"/>
          <w:sz w:val="16"/>
          <w:szCs w:val="16"/>
        </w:rPr>
      </w:pPr>
    </w:p>
    <w:p w:rsidR="009262AF" w:rsidRDefault="009262AF" w:rsidP="009262AF">
      <w:pPr>
        <w:pStyle w:val="Heading1"/>
        <w:spacing w:before="0" w:after="120"/>
        <w:rPr>
          <w:rFonts w:ascii="Arial" w:hAnsi="Arial" w:cs="Arial"/>
          <w:b w:val="0"/>
          <w:color w:val="000000"/>
        </w:rPr>
      </w:pPr>
      <w:r w:rsidRPr="008A4D96">
        <w:rPr>
          <w:rFonts w:ascii="Arial" w:hAnsi="Arial" w:cs="Arial"/>
          <w:color w:val="auto"/>
        </w:rPr>
        <w:t xml:space="preserve">The Gender Pay Gap and Equal Pay are not the same thing </w:t>
      </w:r>
    </w:p>
    <w:p w:rsidR="0010481B" w:rsidRDefault="00391E88" w:rsidP="009B66D9">
      <w:pPr>
        <w:autoSpaceDE w:val="0"/>
        <w:autoSpaceDN w:val="0"/>
        <w:adjustRightInd w:val="0"/>
        <w:spacing w:after="0" w:line="240" w:lineRule="auto"/>
        <w:rPr>
          <w:rFonts w:ascii="Arial" w:hAnsi="Arial" w:cs="Arial"/>
          <w:color w:val="000000"/>
        </w:rPr>
      </w:pPr>
      <w:r w:rsidRPr="004C6429">
        <w:rPr>
          <w:rFonts w:ascii="Arial" w:hAnsi="Arial" w:cs="Arial"/>
          <w:b/>
          <w:color w:val="000000"/>
        </w:rPr>
        <w:t xml:space="preserve">The </w:t>
      </w:r>
      <w:r w:rsidR="009262AF" w:rsidRPr="004C6429">
        <w:rPr>
          <w:rFonts w:ascii="Arial" w:hAnsi="Arial" w:cs="Arial"/>
          <w:b/>
          <w:color w:val="000000"/>
        </w:rPr>
        <w:t>gender pay gap differs to equal pay</w:t>
      </w:r>
      <w:r w:rsidR="009262AF">
        <w:rPr>
          <w:rFonts w:ascii="Arial" w:hAnsi="Arial" w:cs="Arial"/>
          <w:color w:val="000000"/>
        </w:rPr>
        <w:t xml:space="preserve">. Equal pay </w:t>
      </w:r>
      <w:r w:rsidR="006D2759">
        <w:rPr>
          <w:rFonts w:ascii="Arial" w:hAnsi="Arial" w:cs="Arial"/>
          <w:color w:val="000000"/>
        </w:rPr>
        <w:t xml:space="preserve">relates </w:t>
      </w:r>
      <w:r w:rsidR="009262AF">
        <w:rPr>
          <w:rFonts w:ascii="Arial" w:hAnsi="Arial" w:cs="Arial"/>
          <w:color w:val="000000"/>
        </w:rPr>
        <w:t xml:space="preserve">to pay differences between </w:t>
      </w:r>
      <w:r w:rsidR="006D2759">
        <w:rPr>
          <w:rFonts w:ascii="Arial" w:hAnsi="Arial" w:cs="Arial"/>
          <w:color w:val="000000"/>
        </w:rPr>
        <w:t xml:space="preserve">individuals or groups who carry out the same or similar jobs or work of equal value. It is unlawful </w:t>
      </w:r>
      <w:r w:rsidR="0010481B">
        <w:rPr>
          <w:rFonts w:ascii="Arial" w:hAnsi="Arial" w:cs="Arial"/>
          <w:color w:val="000000"/>
        </w:rPr>
        <w:t xml:space="preserve">to pay people unequally because of their gender. </w:t>
      </w:r>
    </w:p>
    <w:p w:rsidR="0010481B" w:rsidRDefault="0010481B" w:rsidP="009B66D9">
      <w:pPr>
        <w:autoSpaceDE w:val="0"/>
        <w:autoSpaceDN w:val="0"/>
        <w:adjustRightInd w:val="0"/>
        <w:spacing w:after="0" w:line="240" w:lineRule="auto"/>
        <w:rPr>
          <w:rFonts w:ascii="Arial" w:hAnsi="Arial" w:cs="Arial"/>
          <w:color w:val="000000"/>
        </w:rPr>
      </w:pPr>
    </w:p>
    <w:p w:rsidR="009262AF" w:rsidRDefault="009262AF" w:rsidP="009B66D9">
      <w:pPr>
        <w:autoSpaceDE w:val="0"/>
        <w:autoSpaceDN w:val="0"/>
        <w:adjustRightInd w:val="0"/>
        <w:spacing w:after="0" w:line="240" w:lineRule="auto"/>
        <w:rPr>
          <w:rFonts w:ascii="Arial" w:hAnsi="Arial" w:cs="Arial"/>
          <w:color w:val="000000"/>
        </w:rPr>
      </w:pPr>
      <w:r w:rsidRPr="004C6429">
        <w:rPr>
          <w:rFonts w:ascii="Arial" w:hAnsi="Arial" w:cs="Arial"/>
          <w:b/>
          <w:color w:val="000000"/>
        </w:rPr>
        <w:t>The gender pay gap is not unlawful</w:t>
      </w:r>
      <w:r w:rsidR="0010481B">
        <w:rPr>
          <w:rFonts w:ascii="Arial" w:hAnsi="Arial" w:cs="Arial"/>
          <w:color w:val="000000"/>
        </w:rPr>
        <w:t xml:space="preserve">. It shows </w:t>
      </w:r>
      <w:r>
        <w:rPr>
          <w:rFonts w:ascii="Arial" w:hAnsi="Arial" w:cs="Arial"/>
          <w:color w:val="000000"/>
        </w:rPr>
        <w:t xml:space="preserve">the difference in </w:t>
      </w:r>
      <w:r w:rsidR="0010481B">
        <w:rPr>
          <w:rFonts w:ascii="Arial" w:hAnsi="Arial" w:cs="Arial"/>
          <w:color w:val="000000"/>
        </w:rPr>
        <w:t>the earnings of men and women by comparing the av</w:t>
      </w:r>
      <w:r>
        <w:rPr>
          <w:rFonts w:ascii="Arial" w:hAnsi="Arial" w:cs="Arial"/>
          <w:color w:val="000000"/>
        </w:rPr>
        <w:t xml:space="preserve">erage pay of all men and all women employed by </w:t>
      </w:r>
      <w:r w:rsidR="00B12C62">
        <w:rPr>
          <w:rFonts w:ascii="Arial" w:hAnsi="Arial" w:cs="Arial"/>
          <w:color w:val="000000"/>
        </w:rPr>
        <w:t>BHFT</w:t>
      </w:r>
      <w:r w:rsidR="0010481B">
        <w:rPr>
          <w:rFonts w:ascii="Arial" w:hAnsi="Arial" w:cs="Arial"/>
          <w:color w:val="000000"/>
        </w:rPr>
        <w:t xml:space="preserve"> regardless of roles or seniority</w:t>
      </w:r>
      <w:r>
        <w:rPr>
          <w:rFonts w:ascii="Arial" w:hAnsi="Arial" w:cs="Arial"/>
          <w:color w:val="000000"/>
        </w:rPr>
        <w:t>.</w:t>
      </w:r>
      <w:r w:rsidR="008919FA">
        <w:rPr>
          <w:rFonts w:ascii="Arial" w:hAnsi="Arial" w:cs="Arial"/>
          <w:color w:val="000000"/>
        </w:rPr>
        <w:t xml:space="preserve"> </w:t>
      </w:r>
      <w:r>
        <w:rPr>
          <w:rFonts w:ascii="Arial" w:hAnsi="Arial" w:cs="Arial"/>
          <w:color w:val="000000"/>
        </w:rPr>
        <w:t>It is possible to have genuine pay equality but still have a significant gender pay gap.</w:t>
      </w:r>
      <w:r w:rsidR="008919FA">
        <w:rPr>
          <w:rFonts w:ascii="Arial" w:hAnsi="Arial" w:cs="Arial"/>
          <w:color w:val="000000"/>
        </w:rPr>
        <w:t xml:space="preserve"> </w:t>
      </w:r>
    </w:p>
    <w:p w:rsidR="009262AF" w:rsidRDefault="00855380" w:rsidP="009B66D9">
      <w:pPr>
        <w:autoSpaceDE w:val="0"/>
        <w:autoSpaceDN w:val="0"/>
        <w:adjustRightInd w:val="0"/>
        <w:spacing w:before="240" w:after="0"/>
        <w:rPr>
          <w:rFonts w:ascii="Arial" w:hAnsi="Arial" w:cs="Arial"/>
          <w:color w:val="000000"/>
        </w:rPr>
      </w:pPr>
      <w:r w:rsidRPr="00855380">
        <w:rPr>
          <w:rFonts w:ascii="Arial" w:hAnsi="Arial" w:cs="Arial"/>
          <w:b/>
          <w:color w:val="000000"/>
        </w:rPr>
        <w:lastRenderedPageBreak/>
        <w:t>A significant Gender Pay Gap could affect an organisations reputation.</w:t>
      </w:r>
      <w:r>
        <w:rPr>
          <w:rFonts w:ascii="Arial" w:hAnsi="Arial" w:cs="Arial"/>
          <w:color w:val="000000"/>
        </w:rPr>
        <w:t xml:space="preserve"> </w:t>
      </w:r>
      <w:r w:rsidR="00B12C62">
        <w:rPr>
          <w:rFonts w:ascii="Arial" w:hAnsi="Arial" w:cs="Arial"/>
          <w:color w:val="000000"/>
        </w:rPr>
        <w:t xml:space="preserve">The wider the gap the more indication of inequalities and poor organisational performance for women. </w:t>
      </w:r>
      <w:r w:rsidR="004C6429">
        <w:rPr>
          <w:rFonts w:ascii="Arial" w:hAnsi="Arial" w:cs="Arial"/>
          <w:color w:val="000000"/>
        </w:rPr>
        <w:t>Narrative should explain the results. Th</w:t>
      </w:r>
      <w:r w:rsidR="009262AF">
        <w:rPr>
          <w:rFonts w:ascii="Arial" w:hAnsi="Arial" w:cs="Arial"/>
          <w:color w:val="000000"/>
        </w:rPr>
        <w:t>e data used is a tool for measuring career opportunities, promotions and progress for women</w:t>
      </w:r>
      <w:r w:rsidR="00703045">
        <w:rPr>
          <w:rFonts w:ascii="Arial" w:hAnsi="Arial" w:cs="Arial"/>
          <w:color w:val="000000"/>
        </w:rPr>
        <w:t xml:space="preserve">. </w:t>
      </w:r>
      <w:r w:rsidR="009262AF">
        <w:rPr>
          <w:rFonts w:ascii="Arial" w:hAnsi="Arial" w:cs="Arial"/>
          <w:color w:val="000000"/>
        </w:rPr>
        <w:t xml:space="preserve">There are significant benefits and values for both genders, for an organisation and for the UK economy in having an equalised workforce. </w:t>
      </w:r>
    </w:p>
    <w:p w:rsidR="0025081F" w:rsidRDefault="0025081F" w:rsidP="009262AF">
      <w:pPr>
        <w:autoSpaceDE w:val="0"/>
        <w:autoSpaceDN w:val="0"/>
        <w:adjustRightInd w:val="0"/>
        <w:spacing w:after="0"/>
        <w:rPr>
          <w:rFonts w:ascii="Arial" w:hAnsi="Arial" w:cs="Arial"/>
          <w:color w:val="000000"/>
        </w:rPr>
      </w:pPr>
    </w:p>
    <w:p w:rsidR="00D0724D" w:rsidRPr="004B2809" w:rsidRDefault="00D0724D" w:rsidP="004B2809">
      <w:pPr>
        <w:pStyle w:val="Heading1"/>
        <w:spacing w:before="0" w:after="120"/>
        <w:rPr>
          <w:rFonts w:ascii="Arial" w:hAnsi="Arial" w:cs="Arial"/>
          <w:color w:val="92D050"/>
        </w:rPr>
      </w:pPr>
      <w:r w:rsidRPr="008A4D96">
        <w:rPr>
          <w:rFonts w:ascii="Arial" w:hAnsi="Arial" w:cs="Arial"/>
          <w:color w:val="auto"/>
        </w:rPr>
        <w:t xml:space="preserve">The Data Required by the Regulations </w:t>
      </w:r>
    </w:p>
    <w:p w:rsidR="00D0724D" w:rsidRDefault="00D0724D" w:rsidP="00D0724D">
      <w:pPr>
        <w:autoSpaceDE w:val="0"/>
        <w:autoSpaceDN w:val="0"/>
        <w:adjustRightInd w:val="0"/>
        <w:spacing w:after="0"/>
        <w:rPr>
          <w:rFonts w:ascii="Arial" w:hAnsi="Arial" w:cs="Arial"/>
          <w:color w:val="000000"/>
        </w:rPr>
      </w:pPr>
      <w:r>
        <w:rPr>
          <w:rFonts w:ascii="Arial" w:hAnsi="Arial" w:cs="Arial"/>
          <w:color w:val="000000"/>
        </w:rPr>
        <w:t>Emplo</w:t>
      </w:r>
      <w:r w:rsidR="00391E88">
        <w:rPr>
          <w:rFonts w:ascii="Arial" w:hAnsi="Arial" w:cs="Arial"/>
          <w:color w:val="000000"/>
        </w:rPr>
        <w:t>yers are required to calculate</w:t>
      </w:r>
      <w:r>
        <w:rPr>
          <w:rFonts w:ascii="Arial" w:hAnsi="Arial" w:cs="Arial"/>
          <w:color w:val="000000"/>
        </w:rPr>
        <w:t>:</w:t>
      </w:r>
    </w:p>
    <w:p w:rsidR="00D0724D" w:rsidRPr="00B102DB" w:rsidRDefault="00D0724D" w:rsidP="00D0724D">
      <w:pPr>
        <w:autoSpaceDE w:val="0"/>
        <w:autoSpaceDN w:val="0"/>
        <w:adjustRightInd w:val="0"/>
        <w:spacing w:after="0"/>
        <w:rPr>
          <w:rFonts w:ascii="Arial" w:hAnsi="Arial" w:cs="Arial"/>
          <w:color w:val="000000"/>
          <w:sz w:val="16"/>
          <w:szCs w:val="16"/>
        </w:rPr>
      </w:pPr>
    </w:p>
    <w:p w:rsidR="00391E88" w:rsidRPr="00391E88" w:rsidRDefault="00D0724D" w:rsidP="004135C2">
      <w:pPr>
        <w:pStyle w:val="ListParagraph"/>
        <w:numPr>
          <w:ilvl w:val="0"/>
          <w:numId w:val="5"/>
        </w:numPr>
        <w:autoSpaceDE w:val="0"/>
        <w:autoSpaceDN w:val="0"/>
        <w:adjustRightInd w:val="0"/>
        <w:spacing w:after="0"/>
        <w:rPr>
          <w:rFonts w:ascii="Arial" w:hAnsi="Arial" w:cs="Arial"/>
          <w:color w:val="000000"/>
          <w:sz w:val="16"/>
          <w:szCs w:val="16"/>
        </w:rPr>
      </w:pPr>
      <w:r w:rsidRPr="00391E88">
        <w:rPr>
          <w:rFonts w:ascii="Arial" w:hAnsi="Arial" w:cs="Arial"/>
          <w:b/>
          <w:color w:val="000000"/>
        </w:rPr>
        <w:t xml:space="preserve">Ordinary pay - </w:t>
      </w:r>
      <w:r w:rsidRPr="00391E88">
        <w:rPr>
          <w:rFonts w:ascii="Arial" w:eastAsia="Times New Roman" w:hAnsi="Arial" w:cs="Arial"/>
        </w:rPr>
        <w:t>the gross hourly rate of ordinary pay relating to the pay period</w:t>
      </w:r>
      <w:r w:rsidRPr="00391E88">
        <w:rPr>
          <w:rFonts w:ascii="Arial" w:hAnsi="Arial" w:cs="Arial"/>
          <w:color w:val="000000"/>
        </w:rPr>
        <w:t xml:space="preserve"> and then</w:t>
      </w:r>
      <w:r w:rsidR="00391E88">
        <w:rPr>
          <w:rFonts w:ascii="Arial" w:hAnsi="Arial" w:cs="Arial"/>
          <w:color w:val="000000"/>
        </w:rPr>
        <w:t>:</w:t>
      </w:r>
    </w:p>
    <w:p w:rsidR="00D0724D" w:rsidRPr="00391E88" w:rsidRDefault="00D0724D" w:rsidP="004135C2">
      <w:pPr>
        <w:pStyle w:val="ListParagraph"/>
        <w:numPr>
          <w:ilvl w:val="0"/>
          <w:numId w:val="5"/>
        </w:numPr>
        <w:autoSpaceDE w:val="0"/>
        <w:autoSpaceDN w:val="0"/>
        <w:adjustRightInd w:val="0"/>
        <w:spacing w:after="0"/>
        <w:rPr>
          <w:rFonts w:ascii="Arial" w:hAnsi="Arial" w:cs="Arial"/>
          <w:color w:val="000000"/>
          <w:sz w:val="16"/>
          <w:szCs w:val="16"/>
        </w:rPr>
      </w:pPr>
      <w:r w:rsidRPr="00391E88">
        <w:rPr>
          <w:rFonts w:ascii="Arial" w:hAnsi="Arial" w:cs="Arial"/>
          <w:b/>
          <w:color w:val="000000"/>
        </w:rPr>
        <w:t>The gender difference</w:t>
      </w:r>
      <w:r w:rsidRPr="00391E88">
        <w:rPr>
          <w:rFonts w:ascii="Arial" w:hAnsi="Arial" w:cs="Arial"/>
          <w:color w:val="000000"/>
        </w:rPr>
        <w:t xml:space="preserve"> in the mean pay, median pay and mean bonus in the pay period</w:t>
      </w:r>
      <w:r w:rsidR="008919FA" w:rsidRPr="00391E88">
        <w:rPr>
          <w:rFonts w:ascii="Arial" w:hAnsi="Arial" w:cs="Arial"/>
          <w:color w:val="000000"/>
        </w:rPr>
        <w:t xml:space="preserve">; </w:t>
      </w:r>
      <w:r w:rsidRPr="00391E88">
        <w:rPr>
          <w:rFonts w:ascii="Arial" w:hAnsi="Arial" w:cs="Arial"/>
          <w:color w:val="000000"/>
        </w:rPr>
        <w:t xml:space="preserve"> </w:t>
      </w:r>
    </w:p>
    <w:p w:rsidR="00D0724D" w:rsidRPr="005459C6" w:rsidRDefault="00D0724D" w:rsidP="004135C2">
      <w:pPr>
        <w:pStyle w:val="ListParagraph"/>
        <w:numPr>
          <w:ilvl w:val="0"/>
          <w:numId w:val="1"/>
        </w:numPr>
        <w:autoSpaceDE w:val="0"/>
        <w:autoSpaceDN w:val="0"/>
        <w:adjustRightInd w:val="0"/>
        <w:spacing w:after="0"/>
        <w:rPr>
          <w:rFonts w:ascii="Arial" w:hAnsi="Arial" w:cs="Arial"/>
          <w:b/>
          <w:color w:val="000000"/>
        </w:rPr>
      </w:pPr>
      <w:r w:rsidRPr="005459C6">
        <w:rPr>
          <w:rFonts w:ascii="Arial" w:hAnsi="Arial" w:cs="Arial"/>
          <w:b/>
          <w:color w:val="000000"/>
        </w:rPr>
        <w:t>Mean Gender Pay Gap</w:t>
      </w:r>
      <w:r>
        <w:rPr>
          <w:rFonts w:ascii="Arial" w:hAnsi="Arial" w:cs="Arial"/>
          <w:b/>
          <w:color w:val="000000"/>
        </w:rPr>
        <w:t xml:space="preserve"> - </w:t>
      </w:r>
      <w:r w:rsidRPr="00A434CE">
        <w:rPr>
          <w:rFonts w:ascii="Arial" w:eastAsia="Times New Roman" w:hAnsi="Arial" w:cs="Arial"/>
        </w:rPr>
        <w:t xml:space="preserve">difference between the </w:t>
      </w:r>
      <w:r>
        <w:rPr>
          <w:rFonts w:ascii="Arial" w:eastAsia="Times New Roman" w:hAnsi="Arial" w:cs="Arial"/>
        </w:rPr>
        <w:t xml:space="preserve">mean hourly rate of ordinary pay </w:t>
      </w:r>
    </w:p>
    <w:p w:rsidR="00391E88" w:rsidRPr="00391E88" w:rsidRDefault="00D0724D" w:rsidP="004135C2">
      <w:pPr>
        <w:pStyle w:val="ListParagraph"/>
        <w:numPr>
          <w:ilvl w:val="0"/>
          <w:numId w:val="1"/>
        </w:numPr>
        <w:autoSpaceDE w:val="0"/>
        <w:autoSpaceDN w:val="0"/>
        <w:adjustRightInd w:val="0"/>
        <w:spacing w:after="0"/>
        <w:rPr>
          <w:rFonts w:ascii="Arial" w:hAnsi="Arial" w:cs="Arial"/>
          <w:b/>
          <w:color w:val="000000"/>
        </w:rPr>
      </w:pPr>
      <w:r w:rsidRPr="002B4FC9">
        <w:rPr>
          <w:rFonts w:ascii="Arial" w:hAnsi="Arial" w:cs="Arial"/>
          <w:b/>
          <w:color w:val="000000"/>
        </w:rPr>
        <w:t xml:space="preserve">Median Gender Pay Gap - </w:t>
      </w:r>
      <w:r w:rsidRPr="002B4FC9">
        <w:rPr>
          <w:rFonts w:ascii="Arial" w:eastAsia="Times New Roman" w:hAnsi="Arial" w:cs="Arial"/>
        </w:rPr>
        <w:t>difference between the</w:t>
      </w:r>
      <w:r w:rsidR="00391E88">
        <w:rPr>
          <w:rFonts w:ascii="Arial" w:eastAsia="Times New Roman" w:hAnsi="Arial" w:cs="Arial"/>
        </w:rPr>
        <w:t xml:space="preserve"> mean (and median) ordinary pay</w:t>
      </w:r>
    </w:p>
    <w:p w:rsidR="00D0724D" w:rsidRPr="002B4FC9" w:rsidRDefault="00D0724D" w:rsidP="004135C2">
      <w:pPr>
        <w:pStyle w:val="ListParagraph"/>
        <w:numPr>
          <w:ilvl w:val="0"/>
          <w:numId w:val="1"/>
        </w:numPr>
        <w:autoSpaceDE w:val="0"/>
        <w:autoSpaceDN w:val="0"/>
        <w:adjustRightInd w:val="0"/>
        <w:spacing w:after="0"/>
        <w:rPr>
          <w:rFonts w:ascii="Arial" w:hAnsi="Arial" w:cs="Arial"/>
          <w:b/>
          <w:color w:val="000000"/>
        </w:rPr>
      </w:pPr>
      <w:r w:rsidRPr="002B4FC9">
        <w:rPr>
          <w:rFonts w:ascii="Arial" w:hAnsi="Arial" w:cs="Arial"/>
          <w:b/>
          <w:color w:val="000000"/>
        </w:rPr>
        <w:t>Mean Bonus Gender Pay Gap -</w:t>
      </w:r>
      <w:r w:rsidRPr="002B4FC9">
        <w:rPr>
          <w:rFonts w:ascii="Arial" w:eastAsia="Times New Roman" w:hAnsi="Arial" w:cs="Arial"/>
        </w:rPr>
        <w:t xml:space="preserve"> difference between the mean rate of bonus </w:t>
      </w:r>
    </w:p>
    <w:p w:rsidR="00D0724D" w:rsidRPr="002B4FC9" w:rsidRDefault="00D0724D" w:rsidP="004135C2">
      <w:pPr>
        <w:pStyle w:val="ListParagraph"/>
        <w:numPr>
          <w:ilvl w:val="0"/>
          <w:numId w:val="1"/>
        </w:numPr>
        <w:autoSpaceDE w:val="0"/>
        <w:autoSpaceDN w:val="0"/>
        <w:adjustRightInd w:val="0"/>
        <w:spacing w:after="0"/>
        <w:rPr>
          <w:rFonts w:ascii="Arial" w:hAnsi="Arial" w:cs="Arial"/>
          <w:b/>
          <w:color w:val="000000"/>
        </w:rPr>
      </w:pPr>
      <w:r w:rsidRPr="002B4FC9">
        <w:rPr>
          <w:rFonts w:ascii="Arial" w:hAnsi="Arial" w:cs="Arial"/>
          <w:b/>
          <w:color w:val="000000"/>
        </w:rPr>
        <w:t xml:space="preserve">Median Bonus Gender Pay Gap - </w:t>
      </w:r>
      <w:r w:rsidRPr="002B4FC9">
        <w:rPr>
          <w:rFonts w:ascii="Arial" w:eastAsia="Times New Roman" w:hAnsi="Arial" w:cs="Arial"/>
        </w:rPr>
        <w:t>difference between the mean (and median) bonus</w:t>
      </w:r>
    </w:p>
    <w:p w:rsidR="00D0724D" w:rsidRPr="00B102DB" w:rsidRDefault="00D0724D" w:rsidP="004135C2">
      <w:pPr>
        <w:pStyle w:val="ListParagraph"/>
        <w:numPr>
          <w:ilvl w:val="0"/>
          <w:numId w:val="1"/>
        </w:numPr>
        <w:autoSpaceDE w:val="0"/>
        <w:autoSpaceDN w:val="0"/>
        <w:adjustRightInd w:val="0"/>
        <w:spacing w:after="0"/>
        <w:rPr>
          <w:rFonts w:ascii="Arial" w:hAnsi="Arial" w:cs="Arial"/>
          <w:color w:val="000000"/>
        </w:rPr>
      </w:pPr>
      <w:r w:rsidRPr="00B102DB">
        <w:rPr>
          <w:rFonts w:ascii="Arial" w:hAnsi="Arial" w:cs="Arial"/>
          <w:b/>
          <w:color w:val="000000"/>
        </w:rPr>
        <w:t>Proportion of Males and Females in Each Quartile Pay Band</w:t>
      </w:r>
    </w:p>
    <w:p w:rsidR="00820320" w:rsidRPr="00943670" w:rsidRDefault="00820320" w:rsidP="00DE3C95">
      <w:pPr>
        <w:autoSpaceDE w:val="0"/>
        <w:autoSpaceDN w:val="0"/>
        <w:adjustRightInd w:val="0"/>
        <w:spacing w:after="0"/>
        <w:rPr>
          <w:rFonts w:ascii="Arial" w:hAnsi="Arial" w:cs="Arial"/>
          <w:color w:val="000000"/>
          <w:sz w:val="16"/>
          <w:szCs w:val="16"/>
        </w:rPr>
      </w:pPr>
    </w:p>
    <w:p w:rsidR="00943670" w:rsidRPr="00943670" w:rsidRDefault="00943670" w:rsidP="00943670">
      <w:pPr>
        <w:autoSpaceDE w:val="0"/>
        <w:autoSpaceDN w:val="0"/>
        <w:adjustRightInd w:val="0"/>
        <w:spacing w:after="120"/>
        <w:rPr>
          <w:rFonts w:ascii="Arial" w:hAnsi="Arial" w:cs="Arial"/>
          <w:b/>
        </w:rPr>
      </w:pPr>
      <w:r w:rsidRPr="00943670">
        <w:rPr>
          <w:rFonts w:ascii="Arial" w:hAnsi="Arial" w:cs="Arial"/>
          <w:b/>
        </w:rPr>
        <w:t xml:space="preserve">Methodology  </w:t>
      </w:r>
    </w:p>
    <w:p w:rsidR="002305F5" w:rsidRPr="000012E7" w:rsidRDefault="00AC26A0" w:rsidP="00D536E2">
      <w:pPr>
        <w:autoSpaceDE w:val="0"/>
        <w:autoSpaceDN w:val="0"/>
        <w:adjustRightInd w:val="0"/>
        <w:spacing w:after="0"/>
        <w:rPr>
          <w:rFonts w:ascii="Arial" w:hAnsi="Arial" w:cs="Arial"/>
          <w:color w:val="FF0000"/>
        </w:rPr>
      </w:pPr>
      <w:r w:rsidRPr="00943670">
        <w:rPr>
          <w:rFonts w:ascii="Arial" w:hAnsi="Arial" w:cs="Arial"/>
        </w:rPr>
        <w:t xml:space="preserve">The data </w:t>
      </w:r>
      <w:r w:rsidR="004C6429">
        <w:rPr>
          <w:rFonts w:ascii="Arial" w:hAnsi="Arial" w:cs="Arial"/>
        </w:rPr>
        <w:t>comes</w:t>
      </w:r>
      <w:r w:rsidRPr="00943670">
        <w:rPr>
          <w:rFonts w:ascii="Arial" w:hAnsi="Arial" w:cs="Arial"/>
        </w:rPr>
        <w:t xml:space="preserve"> </w:t>
      </w:r>
      <w:r w:rsidR="009B66D9">
        <w:rPr>
          <w:rFonts w:ascii="Arial" w:hAnsi="Arial" w:cs="Arial"/>
        </w:rPr>
        <w:t>from the nat</w:t>
      </w:r>
      <w:r w:rsidRPr="00943670">
        <w:rPr>
          <w:rFonts w:ascii="Arial" w:hAnsi="Arial" w:cs="Arial"/>
        </w:rPr>
        <w:t xml:space="preserve">ional </w:t>
      </w:r>
      <w:r w:rsidR="00943670" w:rsidRPr="00943670">
        <w:rPr>
          <w:rFonts w:ascii="Arial" w:hAnsi="Arial" w:cs="Arial"/>
        </w:rPr>
        <w:t xml:space="preserve">Electronic Staff Record </w:t>
      </w:r>
      <w:r w:rsidRPr="00943670">
        <w:rPr>
          <w:rFonts w:ascii="Arial" w:hAnsi="Arial" w:cs="Arial"/>
        </w:rPr>
        <w:t>E</w:t>
      </w:r>
      <w:r w:rsidR="00943670" w:rsidRPr="00943670">
        <w:rPr>
          <w:rFonts w:ascii="Arial" w:hAnsi="Arial" w:cs="Arial"/>
        </w:rPr>
        <w:t xml:space="preserve">SR Gender Pay Gap Reporting tool </w:t>
      </w:r>
      <w:r w:rsidR="009B66D9">
        <w:rPr>
          <w:rFonts w:ascii="Arial" w:hAnsi="Arial" w:cs="Arial"/>
        </w:rPr>
        <w:t>and</w:t>
      </w:r>
      <w:r w:rsidRPr="00943670">
        <w:rPr>
          <w:rFonts w:ascii="Arial" w:hAnsi="Arial" w:cs="Arial"/>
        </w:rPr>
        <w:t xml:space="preserve"> uses the appropriate definitions, calculations and </w:t>
      </w:r>
      <w:r w:rsidR="00F72D66" w:rsidRPr="00943670">
        <w:rPr>
          <w:rFonts w:ascii="Arial" w:hAnsi="Arial" w:cs="Arial"/>
        </w:rPr>
        <w:t>methodology</w:t>
      </w:r>
      <w:r w:rsidRPr="00943670">
        <w:rPr>
          <w:rFonts w:ascii="Arial" w:hAnsi="Arial" w:cs="Arial"/>
        </w:rPr>
        <w:t>.</w:t>
      </w:r>
      <w:r w:rsidR="00943670">
        <w:rPr>
          <w:rFonts w:ascii="Arial" w:hAnsi="Arial" w:cs="Arial"/>
        </w:rPr>
        <w:t xml:space="preserve"> </w:t>
      </w:r>
      <w:r w:rsidR="002305F5" w:rsidRPr="002305F5">
        <w:rPr>
          <w:rFonts w:ascii="Arial" w:hAnsi="Arial" w:cs="Arial"/>
        </w:rPr>
        <w:t>Technical guidance on how these indicators are calculated can be found on the ACAS website</w:t>
      </w:r>
      <w:r w:rsidR="002305F5" w:rsidRPr="00D536E2">
        <w:rPr>
          <w:rFonts w:ascii="Arial" w:hAnsi="Arial" w:cs="Arial"/>
        </w:rPr>
        <w:t xml:space="preserve">.  </w:t>
      </w:r>
    </w:p>
    <w:p w:rsidR="00D536E2" w:rsidRPr="00CC3869" w:rsidRDefault="00D536E2" w:rsidP="00D536E2">
      <w:pPr>
        <w:autoSpaceDE w:val="0"/>
        <w:autoSpaceDN w:val="0"/>
        <w:adjustRightInd w:val="0"/>
        <w:spacing w:after="0"/>
        <w:rPr>
          <w:rFonts w:ascii="Arial" w:hAnsi="Arial" w:cs="Arial"/>
          <w:b/>
          <w:sz w:val="16"/>
          <w:szCs w:val="16"/>
        </w:rPr>
      </w:pPr>
    </w:p>
    <w:p w:rsidR="009262AF" w:rsidRPr="00A7017B" w:rsidRDefault="009262AF" w:rsidP="009262AF">
      <w:pPr>
        <w:autoSpaceDE w:val="0"/>
        <w:autoSpaceDN w:val="0"/>
        <w:adjustRightInd w:val="0"/>
        <w:spacing w:after="120"/>
        <w:rPr>
          <w:rFonts w:ascii="Arial" w:hAnsi="Arial" w:cs="Arial"/>
          <w:b/>
        </w:rPr>
      </w:pPr>
      <w:r w:rsidRPr="00A7017B">
        <w:rPr>
          <w:rFonts w:ascii="Arial" w:hAnsi="Arial" w:cs="Arial"/>
          <w:b/>
        </w:rPr>
        <w:t xml:space="preserve">What does the report show? </w:t>
      </w:r>
    </w:p>
    <w:p w:rsidR="009262AF" w:rsidRPr="00A7017B" w:rsidRDefault="009262AF" w:rsidP="009262AF">
      <w:pPr>
        <w:autoSpaceDE w:val="0"/>
        <w:autoSpaceDN w:val="0"/>
        <w:adjustRightInd w:val="0"/>
        <w:spacing w:after="0"/>
        <w:rPr>
          <w:rFonts w:ascii="Arial" w:hAnsi="Arial" w:cs="Arial"/>
        </w:rPr>
      </w:pPr>
      <w:r w:rsidRPr="00A7017B">
        <w:rPr>
          <w:rFonts w:ascii="Arial" w:hAnsi="Arial" w:cs="Arial"/>
        </w:rPr>
        <w:t xml:space="preserve">Gender Pay Gap data gives transparency about </w:t>
      </w:r>
      <w:r w:rsidR="009B66D9">
        <w:rPr>
          <w:rFonts w:ascii="Arial" w:hAnsi="Arial" w:cs="Arial"/>
        </w:rPr>
        <w:t xml:space="preserve">gender and pay across the Trust. It can </w:t>
      </w:r>
      <w:r w:rsidRPr="00A7017B">
        <w:rPr>
          <w:rFonts w:ascii="Arial" w:hAnsi="Arial" w:cs="Arial"/>
        </w:rPr>
        <w:t xml:space="preserve">be benchmarked </w:t>
      </w:r>
      <w:r w:rsidR="004C6429">
        <w:rPr>
          <w:rFonts w:ascii="Arial" w:hAnsi="Arial" w:cs="Arial"/>
        </w:rPr>
        <w:t xml:space="preserve">with </w:t>
      </w:r>
      <w:r w:rsidRPr="00A7017B">
        <w:rPr>
          <w:rFonts w:ascii="Arial" w:hAnsi="Arial" w:cs="Arial"/>
        </w:rPr>
        <w:t xml:space="preserve">National, NHS, Public Sector or other group data. It also provides further information and analysis to explain the resulting data and to detail any areas to address as part of demonstrating our commitment to equality. </w:t>
      </w:r>
    </w:p>
    <w:p w:rsidR="009262AF" w:rsidRPr="008919FA" w:rsidRDefault="009262AF" w:rsidP="009262AF">
      <w:pPr>
        <w:autoSpaceDE w:val="0"/>
        <w:autoSpaceDN w:val="0"/>
        <w:adjustRightInd w:val="0"/>
        <w:spacing w:after="0"/>
        <w:rPr>
          <w:rFonts w:ascii="Arial" w:hAnsi="Arial" w:cs="Arial"/>
          <w:sz w:val="16"/>
          <w:szCs w:val="16"/>
        </w:rPr>
      </w:pPr>
    </w:p>
    <w:p w:rsidR="009262AF" w:rsidRPr="00512071" w:rsidRDefault="009262AF" w:rsidP="00512071">
      <w:pPr>
        <w:rPr>
          <w:rFonts w:ascii="Arial" w:hAnsi="Arial" w:cs="Arial"/>
        </w:rPr>
      </w:pPr>
      <w:r w:rsidRPr="00512071">
        <w:rPr>
          <w:rFonts w:ascii="Arial" w:hAnsi="Arial" w:cs="Arial"/>
        </w:rPr>
        <w:t>The narrative provided by the Trust is extra to the statutory requirements but is a key part of assessing, understanding and explaining the data so that results are not misinterpreted</w:t>
      </w:r>
      <w:r w:rsidR="00D536E2">
        <w:rPr>
          <w:rFonts w:ascii="Arial" w:hAnsi="Arial" w:cs="Arial"/>
        </w:rPr>
        <w:t xml:space="preserve"> for want of background detail and so that actions can be taken.</w:t>
      </w:r>
    </w:p>
    <w:p w:rsidR="00512071" w:rsidRDefault="00512071" w:rsidP="00512071">
      <w:pPr>
        <w:rPr>
          <w:rFonts w:ascii="Arial" w:hAnsi="Arial" w:cs="Arial"/>
          <w:b/>
        </w:rPr>
      </w:pPr>
      <w:r w:rsidRPr="00512071">
        <w:rPr>
          <w:rFonts w:ascii="Arial" w:hAnsi="Arial" w:cs="Arial"/>
          <w:b/>
        </w:rPr>
        <w:t xml:space="preserve">Who is included in the calculations? </w:t>
      </w:r>
    </w:p>
    <w:p w:rsidR="0018028F" w:rsidRDefault="002305F5" w:rsidP="00EE065B">
      <w:pPr>
        <w:spacing w:after="0" w:line="240" w:lineRule="auto"/>
        <w:rPr>
          <w:rFonts w:ascii="Arial" w:hAnsi="Arial" w:cs="Arial"/>
          <w:b/>
        </w:rPr>
      </w:pPr>
      <w:r w:rsidRPr="00B17E49">
        <w:rPr>
          <w:rFonts w:ascii="Arial" w:hAnsi="Arial" w:cs="Arial"/>
        </w:rPr>
        <w:t>All</w:t>
      </w:r>
      <w:r w:rsidR="00512071" w:rsidRPr="00B17E49">
        <w:rPr>
          <w:rFonts w:ascii="Arial" w:hAnsi="Arial" w:cs="Arial"/>
        </w:rPr>
        <w:t xml:space="preserve"> staff who were employed by the Trust on the 31st March 20</w:t>
      </w:r>
      <w:r w:rsidR="00EE065B">
        <w:rPr>
          <w:rFonts w:ascii="Arial" w:hAnsi="Arial" w:cs="Arial"/>
        </w:rPr>
        <w:t>2</w:t>
      </w:r>
      <w:r w:rsidR="00166456">
        <w:rPr>
          <w:rFonts w:ascii="Arial" w:hAnsi="Arial" w:cs="Arial"/>
        </w:rPr>
        <w:t>2</w:t>
      </w:r>
      <w:r w:rsidR="00512071" w:rsidRPr="00B17E49">
        <w:rPr>
          <w:rFonts w:ascii="Arial" w:hAnsi="Arial" w:cs="Arial"/>
        </w:rPr>
        <w:t xml:space="preserve"> </w:t>
      </w:r>
      <w:r w:rsidR="00D536E2" w:rsidRPr="00B17E49">
        <w:rPr>
          <w:rFonts w:ascii="Arial" w:hAnsi="Arial" w:cs="Arial"/>
        </w:rPr>
        <w:t>are</w:t>
      </w:r>
      <w:r w:rsidR="00512071" w:rsidRPr="00B17E49">
        <w:rPr>
          <w:rFonts w:ascii="Arial" w:hAnsi="Arial" w:cs="Arial"/>
        </w:rPr>
        <w:t xml:space="preserve"> included.</w:t>
      </w:r>
      <w:r w:rsidR="00512071" w:rsidRPr="00B17E49">
        <w:rPr>
          <w:rFonts w:ascii="Arial" w:hAnsi="Arial" w:cs="Arial"/>
          <w:b/>
        </w:rPr>
        <w:t xml:space="preserve">  </w:t>
      </w:r>
    </w:p>
    <w:p w:rsidR="0018028F" w:rsidRPr="0018028F" w:rsidRDefault="0018028F" w:rsidP="0018028F">
      <w:pPr>
        <w:spacing w:after="0"/>
        <w:rPr>
          <w:rFonts w:ascii="Arial" w:hAnsi="Arial" w:cs="Arial"/>
          <w:b/>
          <w:sz w:val="16"/>
          <w:szCs w:val="16"/>
        </w:rPr>
      </w:pPr>
    </w:p>
    <w:p w:rsidR="00512071" w:rsidRPr="0018028F" w:rsidRDefault="00512071" w:rsidP="004135C2">
      <w:pPr>
        <w:pStyle w:val="ListParagraph"/>
        <w:numPr>
          <w:ilvl w:val="0"/>
          <w:numId w:val="4"/>
        </w:numPr>
        <w:spacing w:after="0" w:line="240" w:lineRule="auto"/>
        <w:rPr>
          <w:rFonts w:ascii="Arial" w:hAnsi="Arial" w:cs="Arial"/>
        </w:rPr>
      </w:pPr>
      <w:r w:rsidRPr="00391E88">
        <w:rPr>
          <w:rFonts w:ascii="Arial" w:hAnsi="Arial" w:cs="Arial"/>
          <w:b/>
        </w:rPr>
        <w:t>Pay includes</w:t>
      </w:r>
      <w:r w:rsidRPr="0018028F">
        <w:rPr>
          <w:rFonts w:ascii="Arial" w:hAnsi="Arial" w:cs="Arial"/>
        </w:rPr>
        <w:t xml:space="preserve">: basic pay, full paid leave including annual, sick, maternity, paternity, adoption or parental leave, bonus pay, area </w:t>
      </w:r>
      <w:r w:rsidR="008919FA">
        <w:rPr>
          <w:rFonts w:ascii="Arial" w:hAnsi="Arial" w:cs="Arial"/>
        </w:rPr>
        <w:t>or</w:t>
      </w:r>
      <w:r w:rsidRPr="0018028F">
        <w:rPr>
          <w:rFonts w:ascii="Arial" w:hAnsi="Arial" w:cs="Arial"/>
        </w:rPr>
        <w:t xml:space="preserve"> other allowances, shift premium pay, piecework</w:t>
      </w:r>
      <w:r w:rsidR="008919FA">
        <w:rPr>
          <w:rFonts w:ascii="Arial" w:hAnsi="Arial" w:cs="Arial"/>
        </w:rPr>
        <w:t xml:space="preserve"> pay</w:t>
      </w:r>
      <w:r w:rsidRPr="0018028F">
        <w:rPr>
          <w:rFonts w:ascii="Arial" w:hAnsi="Arial" w:cs="Arial"/>
        </w:rPr>
        <w:t xml:space="preserve">.  </w:t>
      </w:r>
    </w:p>
    <w:p w:rsidR="00D536E2" w:rsidRPr="00B17E49" w:rsidRDefault="00D536E2" w:rsidP="00D536E2">
      <w:pPr>
        <w:pStyle w:val="ListParagraph"/>
        <w:spacing w:after="0" w:line="240" w:lineRule="auto"/>
        <w:ind w:left="360"/>
        <w:rPr>
          <w:rFonts w:ascii="Arial" w:hAnsi="Arial" w:cs="Arial"/>
          <w:sz w:val="16"/>
          <w:szCs w:val="16"/>
        </w:rPr>
      </w:pPr>
    </w:p>
    <w:p w:rsidR="00CC3869" w:rsidRDefault="002305F5" w:rsidP="004135C2">
      <w:pPr>
        <w:pStyle w:val="ListParagraph"/>
        <w:numPr>
          <w:ilvl w:val="0"/>
          <w:numId w:val="3"/>
        </w:numPr>
        <w:spacing w:before="240" w:after="0"/>
        <w:rPr>
          <w:rFonts w:ascii="Arial" w:hAnsi="Arial" w:cs="Arial"/>
        </w:rPr>
      </w:pPr>
      <w:r w:rsidRPr="00CC3869">
        <w:rPr>
          <w:rFonts w:ascii="Arial" w:hAnsi="Arial" w:cs="Arial"/>
          <w:b/>
        </w:rPr>
        <w:t>Pay does not include</w:t>
      </w:r>
      <w:r w:rsidRPr="00CC3869">
        <w:rPr>
          <w:rFonts w:ascii="Arial" w:hAnsi="Arial" w:cs="Arial"/>
        </w:rPr>
        <w:t>: overtime pay, expenses (e.g. mileage), salary sacrifice schemes, remuneration in lieu of leave, benefits in kind (e.g. child care vouchers), redundancy pay and tax credits. Employees who are on half or nil absence or maternity leave, hosted staff (e.g. GP Trainees) and agency staff are not included.</w:t>
      </w:r>
      <w:r w:rsidR="00391E88" w:rsidRPr="00CC3869">
        <w:rPr>
          <w:rFonts w:ascii="Arial" w:hAnsi="Arial" w:cs="Arial"/>
        </w:rPr>
        <w:t xml:space="preserve"> </w:t>
      </w:r>
    </w:p>
    <w:p w:rsidR="00B247E7" w:rsidRDefault="008919FA" w:rsidP="004135C2">
      <w:pPr>
        <w:pStyle w:val="ListParagraph"/>
        <w:numPr>
          <w:ilvl w:val="0"/>
          <w:numId w:val="3"/>
        </w:numPr>
        <w:spacing w:before="240" w:after="0"/>
        <w:rPr>
          <w:rFonts w:ascii="Arial" w:hAnsi="Arial" w:cs="Arial"/>
        </w:rPr>
      </w:pPr>
      <w:r w:rsidRPr="00CC3869">
        <w:rPr>
          <w:rFonts w:ascii="Arial" w:hAnsi="Arial" w:cs="Arial"/>
        </w:rPr>
        <w:t>F</w:t>
      </w:r>
      <w:r w:rsidR="002305F5" w:rsidRPr="00CC3869">
        <w:rPr>
          <w:rFonts w:ascii="Arial" w:hAnsi="Arial" w:cs="Arial"/>
        </w:rPr>
        <w:t>or Consultants we include within ‘pay’ those payments made for Additional</w:t>
      </w:r>
      <w:r w:rsidR="002305F5" w:rsidRPr="00CC3869">
        <w:rPr>
          <w:rFonts w:ascii="Arial" w:hAnsi="Arial" w:cs="Arial"/>
          <w:b/>
        </w:rPr>
        <w:t xml:space="preserve"> </w:t>
      </w:r>
      <w:r w:rsidR="002305F5" w:rsidRPr="00CC3869">
        <w:rPr>
          <w:rFonts w:ascii="Arial" w:hAnsi="Arial" w:cs="Arial"/>
        </w:rPr>
        <w:t>Programmed Activities (APA’s), as well as Clinical Excellence Awards (CEA’s).</w:t>
      </w:r>
      <w:r w:rsidR="002305F5" w:rsidRPr="00B17E49">
        <w:rPr>
          <w:rStyle w:val="FootnoteReference"/>
          <w:rFonts w:ascii="Arial" w:hAnsi="Arial" w:cs="Arial"/>
        </w:rPr>
        <w:footnoteReference w:id="2"/>
      </w:r>
      <w:r w:rsidR="002305F5" w:rsidRPr="00CC3869">
        <w:rPr>
          <w:rFonts w:ascii="Arial" w:hAnsi="Arial" w:cs="Arial"/>
        </w:rPr>
        <w:t xml:space="preserve">  </w:t>
      </w:r>
    </w:p>
    <w:p w:rsidR="00096175" w:rsidRPr="00B247E7" w:rsidRDefault="00096175" w:rsidP="004135C2">
      <w:pPr>
        <w:pStyle w:val="ListParagraph"/>
        <w:numPr>
          <w:ilvl w:val="0"/>
          <w:numId w:val="3"/>
        </w:numPr>
        <w:spacing w:before="240" w:after="0"/>
        <w:rPr>
          <w:rFonts w:ascii="Arial" w:hAnsi="Arial" w:cs="Arial"/>
          <w:b/>
          <w:i/>
        </w:rPr>
      </w:pPr>
      <w:r w:rsidRPr="00B247E7">
        <w:rPr>
          <w:rFonts w:ascii="Arial" w:hAnsi="Arial" w:cs="Arial"/>
          <w:b/>
          <w:i/>
        </w:rPr>
        <w:t>NB: B</w:t>
      </w:r>
      <w:r w:rsidR="00B247E7" w:rsidRPr="00B247E7">
        <w:rPr>
          <w:rFonts w:ascii="Arial" w:hAnsi="Arial" w:cs="Arial"/>
          <w:b/>
          <w:i/>
        </w:rPr>
        <w:t xml:space="preserve">edford Hospital data </w:t>
      </w:r>
      <w:r w:rsidRPr="00B247E7">
        <w:rPr>
          <w:rFonts w:ascii="Arial" w:hAnsi="Arial" w:cs="Arial"/>
          <w:b/>
          <w:i/>
        </w:rPr>
        <w:t>included Bank / locum employees who worked in the 12 week pre</w:t>
      </w:r>
      <w:r w:rsidR="00B247E7" w:rsidRPr="00B247E7">
        <w:rPr>
          <w:rFonts w:ascii="Arial" w:hAnsi="Arial" w:cs="Arial"/>
          <w:b/>
          <w:i/>
        </w:rPr>
        <w:t xml:space="preserve">ceding </w:t>
      </w:r>
      <w:r w:rsidRPr="00B247E7">
        <w:rPr>
          <w:rFonts w:ascii="Arial" w:hAnsi="Arial" w:cs="Arial"/>
          <w:b/>
          <w:i/>
        </w:rPr>
        <w:t xml:space="preserve">March 31 </w:t>
      </w:r>
      <w:r w:rsidR="00B247E7" w:rsidRPr="00B247E7">
        <w:rPr>
          <w:rFonts w:ascii="Arial" w:hAnsi="Arial" w:cs="Arial"/>
          <w:b/>
          <w:i/>
        </w:rPr>
        <w:t xml:space="preserve">up until </w:t>
      </w:r>
      <w:r w:rsidRPr="00B247E7">
        <w:rPr>
          <w:rFonts w:ascii="Arial" w:hAnsi="Arial" w:cs="Arial"/>
          <w:b/>
          <w:i/>
        </w:rPr>
        <w:t>2020</w:t>
      </w:r>
    </w:p>
    <w:p w:rsidR="00EE065B" w:rsidRDefault="00EE065B" w:rsidP="00EE065B">
      <w:pPr>
        <w:autoSpaceDE w:val="0"/>
        <w:autoSpaceDN w:val="0"/>
        <w:adjustRightInd w:val="0"/>
        <w:spacing w:after="0"/>
        <w:rPr>
          <w:rFonts w:ascii="Arial" w:hAnsi="Arial" w:cs="Arial"/>
          <w:b/>
          <w:sz w:val="24"/>
          <w:szCs w:val="24"/>
        </w:rPr>
      </w:pPr>
    </w:p>
    <w:p w:rsidR="009262AF" w:rsidRPr="00B17E49" w:rsidRDefault="002305F5" w:rsidP="00FB1E4F">
      <w:pPr>
        <w:autoSpaceDE w:val="0"/>
        <w:autoSpaceDN w:val="0"/>
        <w:adjustRightInd w:val="0"/>
        <w:spacing w:after="120"/>
        <w:rPr>
          <w:rFonts w:ascii="Arial" w:hAnsi="Arial" w:cs="Arial"/>
        </w:rPr>
      </w:pPr>
      <w:r w:rsidRPr="00B17E49">
        <w:rPr>
          <w:rFonts w:ascii="Arial" w:hAnsi="Arial" w:cs="Arial"/>
          <w:b/>
          <w:sz w:val="24"/>
          <w:szCs w:val="24"/>
        </w:rPr>
        <w:t>G</w:t>
      </w:r>
      <w:r w:rsidR="00512071" w:rsidRPr="00B17E49">
        <w:rPr>
          <w:rFonts w:ascii="Arial" w:hAnsi="Arial" w:cs="Arial"/>
          <w:b/>
          <w:sz w:val="24"/>
          <w:szCs w:val="24"/>
        </w:rPr>
        <w:t xml:space="preserve">ender pay reporting and gender identity </w:t>
      </w:r>
      <w:r w:rsidR="008919FA">
        <w:rPr>
          <w:rFonts w:ascii="Arial" w:hAnsi="Arial" w:cs="Arial"/>
          <w:b/>
          <w:sz w:val="24"/>
          <w:szCs w:val="24"/>
        </w:rPr>
        <w:t xml:space="preserve">- </w:t>
      </w:r>
      <w:r w:rsidR="00512071" w:rsidRPr="00B17E49">
        <w:rPr>
          <w:rFonts w:ascii="Arial" w:hAnsi="Arial" w:cs="Arial"/>
        </w:rPr>
        <w:t>The regulations use</w:t>
      </w:r>
      <w:r w:rsidR="00FB1E4F">
        <w:rPr>
          <w:rFonts w:ascii="Arial" w:hAnsi="Arial" w:cs="Arial"/>
        </w:rPr>
        <w:t>,</w:t>
      </w:r>
      <w:r w:rsidR="00512071" w:rsidRPr="00B17E49">
        <w:rPr>
          <w:rFonts w:ascii="Arial" w:hAnsi="Arial" w:cs="Arial"/>
        </w:rPr>
        <w:t xml:space="preserve"> but do not define the terms ‘male’ and ‘female’. </w:t>
      </w:r>
      <w:r w:rsidR="005E70E2" w:rsidRPr="00B17E49">
        <w:rPr>
          <w:rFonts w:ascii="Arial" w:hAnsi="Arial" w:cs="Arial"/>
        </w:rPr>
        <w:t>Employees should not be questioned about their gender</w:t>
      </w:r>
      <w:r w:rsidR="009B66D9">
        <w:rPr>
          <w:rFonts w:ascii="Arial" w:hAnsi="Arial" w:cs="Arial"/>
        </w:rPr>
        <w:t xml:space="preserve"> if</w:t>
      </w:r>
      <w:r w:rsidR="005E70E2" w:rsidRPr="00B17E49">
        <w:rPr>
          <w:rFonts w:ascii="Arial" w:hAnsi="Arial" w:cs="Arial"/>
        </w:rPr>
        <w:t xml:space="preserve"> they do not identify with male or female options </w:t>
      </w:r>
      <w:r w:rsidR="005E70E2">
        <w:rPr>
          <w:rFonts w:ascii="Arial" w:hAnsi="Arial" w:cs="Arial"/>
        </w:rPr>
        <w:t>and emp</w:t>
      </w:r>
      <w:r w:rsidR="00512071" w:rsidRPr="00B17E49">
        <w:rPr>
          <w:rFonts w:ascii="Arial" w:hAnsi="Arial" w:cs="Arial"/>
        </w:rPr>
        <w:t xml:space="preserve">loyers need to be sensitive to employees who choose to self-identify in terms of their gender e.g. as trans-fluid or gender neutral. </w:t>
      </w:r>
      <w:r w:rsidR="005E70E2">
        <w:rPr>
          <w:rFonts w:ascii="Arial" w:hAnsi="Arial" w:cs="Arial"/>
        </w:rPr>
        <w:t>If d</w:t>
      </w:r>
      <w:r w:rsidR="00512071" w:rsidRPr="00B17E49">
        <w:rPr>
          <w:rFonts w:ascii="Arial" w:hAnsi="Arial" w:cs="Arial"/>
        </w:rPr>
        <w:t xml:space="preserve">ata is up to date, </w:t>
      </w:r>
      <w:r w:rsidR="005E70E2">
        <w:rPr>
          <w:rFonts w:ascii="Arial" w:hAnsi="Arial" w:cs="Arial"/>
        </w:rPr>
        <w:t xml:space="preserve">reliance can be placed on the </w:t>
      </w:r>
      <w:r w:rsidR="00512071" w:rsidRPr="00B17E49">
        <w:rPr>
          <w:rFonts w:ascii="Arial" w:hAnsi="Arial" w:cs="Arial"/>
        </w:rPr>
        <w:t xml:space="preserve">gender identification the employee has provided and if they do not identify </w:t>
      </w:r>
      <w:r w:rsidR="00FB1E4F">
        <w:rPr>
          <w:rFonts w:ascii="Arial" w:hAnsi="Arial" w:cs="Arial"/>
        </w:rPr>
        <w:t xml:space="preserve">as </w:t>
      </w:r>
      <w:r w:rsidR="00512071" w:rsidRPr="00B17E49">
        <w:rPr>
          <w:rFonts w:ascii="Arial" w:hAnsi="Arial" w:cs="Arial"/>
        </w:rPr>
        <w:t xml:space="preserve">male or female </w:t>
      </w:r>
      <w:r w:rsidR="00FB1E4F">
        <w:rPr>
          <w:rFonts w:ascii="Arial" w:hAnsi="Arial" w:cs="Arial"/>
        </w:rPr>
        <w:t>an</w:t>
      </w:r>
      <w:r w:rsidR="00512071" w:rsidRPr="00B17E49">
        <w:rPr>
          <w:rFonts w:ascii="Arial" w:hAnsi="Arial" w:cs="Arial"/>
        </w:rPr>
        <w:t xml:space="preserve"> employer may omit the employee from the calculations.</w:t>
      </w:r>
    </w:p>
    <w:p w:rsidR="00967279" w:rsidRPr="00967279" w:rsidRDefault="00967279" w:rsidP="00967279">
      <w:pPr>
        <w:pStyle w:val="Heading1"/>
        <w:spacing w:before="0" w:after="120"/>
        <w:rPr>
          <w:rFonts w:ascii="Arial" w:hAnsi="Arial" w:cs="Arial"/>
          <w:color w:val="auto"/>
        </w:rPr>
      </w:pPr>
      <w:r w:rsidRPr="00967279">
        <w:rPr>
          <w:rFonts w:ascii="Arial" w:hAnsi="Arial" w:cs="Arial"/>
          <w:color w:val="auto"/>
        </w:rPr>
        <w:t xml:space="preserve">Terms and Conditions of Service </w:t>
      </w:r>
    </w:p>
    <w:p w:rsidR="00967279" w:rsidRDefault="00967279" w:rsidP="00967279">
      <w:pPr>
        <w:autoSpaceDE w:val="0"/>
        <w:autoSpaceDN w:val="0"/>
        <w:adjustRightInd w:val="0"/>
        <w:spacing w:after="0"/>
        <w:rPr>
          <w:rFonts w:ascii="Arial" w:hAnsi="Arial" w:cs="Arial"/>
          <w:color w:val="000000"/>
        </w:rPr>
      </w:pPr>
      <w:r>
        <w:rPr>
          <w:rFonts w:ascii="Arial" w:hAnsi="Arial" w:cs="Arial"/>
          <w:color w:val="000000"/>
        </w:rPr>
        <w:t>The majority of staff are on Agenda for Change Terms and Conditions of Service (AfC)</w:t>
      </w:r>
      <w:r w:rsidR="00513B1F">
        <w:rPr>
          <w:rFonts w:ascii="Arial" w:hAnsi="Arial" w:cs="Arial"/>
          <w:color w:val="000000"/>
        </w:rPr>
        <w:t xml:space="preserve">. AfC </w:t>
      </w:r>
      <w:r>
        <w:rPr>
          <w:rFonts w:ascii="Arial" w:hAnsi="Arial" w:cs="Arial"/>
          <w:color w:val="000000"/>
        </w:rPr>
        <w:t>uses a national job evaluation framework to determine appropriate pay bandings</w:t>
      </w:r>
      <w:r w:rsidR="00166456">
        <w:rPr>
          <w:rFonts w:ascii="Arial" w:hAnsi="Arial" w:cs="Arial"/>
          <w:color w:val="000000"/>
        </w:rPr>
        <w:t xml:space="preserve"> giving a </w:t>
      </w:r>
      <w:r>
        <w:rPr>
          <w:rFonts w:ascii="Arial" w:hAnsi="Arial" w:cs="Arial"/>
          <w:color w:val="000000"/>
        </w:rPr>
        <w:t xml:space="preserve">clear process for paying employees equally for the same or equivalent work. Each grade has a set of pay points for progression, </w:t>
      </w:r>
      <w:r w:rsidR="00166456">
        <w:rPr>
          <w:rFonts w:ascii="Arial" w:hAnsi="Arial" w:cs="Arial"/>
          <w:color w:val="000000"/>
        </w:rPr>
        <w:t xml:space="preserve">so </w:t>
      </w:r>
      <w:r>
        <w:rPr>
          <w:rFonts w:ascii="Arial" w:hAnsi="Arial" w:cs="Arial"/>
          <w:color w:val="000000"/>
        </w:rPr>
        <w:t xml:space="preserve">the longer </w:t>
      </w:r>
      <w:r w:rsidR="00166456">
        <w:rPr>
          <w:rFonts w:ascii="Arial" w:hAnsi="Arial" w:cs="Arial"/>
          <w:color w:val="000000"/>
        </w:rPr>
        <w:t xml:space="preserve">the tenure </w:t>
      </w:r>
      <w:r>
        <w:rPr>
          <w:rFonts w:ascii="Arial" w:hAnsi="Arial" w:cs="Arial"/>
          <w:color w:val="000000"/>
        </w:rPr>
        <w:t xml:space="preserve">in a grade the higher </w:t>
      </w:r>
      <w:r w:rsidR="00166456">
        <w:rPr>
          <w:rFonts w:ascii="Arial" w:hAnsi="Arial" w:cs="Arial"/>
          <w:color w:val="000000"/>
        </w:rPr>
        <w:t xml:space="preserve">the </w:t>
      </w:r>
      <w:r>
        <w:rPr>
          <w:rFonts w:ascii="Arial" w:hAnsi="Arial" w:cs="Arial"/>
          <w:color w:val="000000"/>
        </w:rPr>
        <w:t>salary irrespective of gender.</w:t>
      </w:r>
    </w:p>
    <w:p w:rsidR="00967279" w:rsidRDefault="00967279" w:rsidP="00967279">
      <w:pPr>
        <w:autoSpaceDE w:val="0"/>
        <w:autoSpaceDN w:val="0"/>
        <w:adjustRightInd w:val="0"/>
        <w:spacing w:after="0"/>
        <w:rPr>
          <w:rFonts w:ascii="Arial" w:hAnsi="Arial" w:cs="Arial"/>
          <w:color w:val="000000"/>
        </w:rPr>
      </w:pPr>
    </w:p>
    <w:p w:rsidR="00967279" w:rsidRDefault="00967279" w:rsidP="00967279">
      <w:pPr>
        <w:autoSpaceDE w:val="0"/>
        <w:autoSpaceDN w:val="0"/>
        <w:adjustRightInd w:val="0"/>
        <w:spacing w:after="0"/>
        <w:rPr>
          <w:rFonts w:ascii="Arial" w:hAnsi="Arial" w:cs="Arial"/>
          <w:color w:val="000000"/>
        </w:rPr>
      </w:pPr>
      <w:r w:rsidRPr="004870C6">
        <w:rPr>
          <w:rFonts w:ascii="Arial" w:hAnsi="Arial" w:cs="Arial"/>
          <w:color w:val="000000"/>
        </w:rPr>
        <w:t xml:space="preserve">Medical </w:t>
      </w:r>
      <w:r>
        <w:rPr>
          <w:rFonts w:ascii="Arial" w:hAnsi="Arial" w:cs="Arial"/>
          <w:color w:val="000000"/>
        </w:rPr>
        <w:t xml:space="preserve">/ </w:t>
      </w:r>
      <w:r w:rsidRPr="004870C6">
        <w:rPr>
          <w:rFonts w:ascii="Arial" w:hAnsi="Arial" w:cs="Arial"/>
          <w:color w:val="000000"/>
        </w:rPr>
        <w:t>Dental staff</w:t>
      </w:r>
      <w:r>
        <w:rPr>
          <w:rFonts w:ascii="Arial" w:hAnsi="Arial" w:cs="Arial"/>
          <w:color w:val="000000"/>
        </w:rPr>
        <w:t xml:space="preserve"> have different Terms and Conditions depending on their seniority</w:t>
      </w:r>
      <w:r w:rsidR="00513B1F">
        <w:rPr>
          <w:rFonts w:ascii="Arial" w:hAnsi="Arial" w:cs="Arial"/>
          <w:color w:val="000000"/>
        </w:rPr>
        <w:t xml:space="preserve"> with a </w:t>
      </w:r>
      <w:r>
        <w:rPr>
          <w:rFonts w:ascii="Arial" w:hAnsi="Arial" w:cs="Arial"/>
          <w:color w:val="000000"/>
        </w:rPr>
        <w:t>number of basic pay scales with different thresholds within them</w:t>
      </w:r>
      <w:r w:rsidR="00513B1F">
        <w:rPr>
          <w:rFonts w:ascii="Arial" w:hAnsi="Arial" w:cs="Arial"/>
          <w:color w:val="000000"/>
        </w:rPr>
        <w:t xml:space="preserve">. Like </w:t>
      </w:r>
      <w:r>
        <w:rPr>
          <w:rFonts w:ascii="Arial" w:hAnsi="Arial" w:cs="Arial"/>
          <w:color w:val="000000"/>
        </w:rPr>
        <w:t xml:space="preserve">AfC they </w:t>
      </w:r>
      <w:r w:rsidR="00513B1F">
        <w:rPr>
          <w:rFonts w:ascii="Arial" w:hAnsi="Arial" w:cs="Arial"/>
          <w:color w:val="000000"/>
        </w:rPr>
        <w:t xml:space="preserve">give </w:t>
      </w:r>
      <w:r>
        <w:rPr>
          <w:rFonts w:ascii="Arial" w:hAnsi="Arial" w:cs="Arial"/>
          <w:color w:val="000000"/>
        </w:rPr>
        <w:t xml:space="preserve">a clear process of paying employees equally for the same or equivalent work. Very </w:t>
      </w:r>
      <w:r w:rsidRPr="004870C6">
        <w:rPr>
          <w:rFonts w:ascii="Arial" w:hAnsi="Arial" w:cs="Arial"/>
          <w:color w:val="000000"/>
        </w:rPr>
        <w:t>Senior Managers</w:t>
      </w:r>
      <w:r>
        <w:rPr>
          <w:rFonts w:ascii="Arial" w:hAnsi="Arial" w:cs="Arial"/>
          <w:color w:val="000000"/>
        </w:rPr>
        <w:t xml:space="preserve"> </w:t>
      </w:r>
      <w:r w:rsidR="00513B1F">
        <w:rPr>
          <w:rFonts w:ascii="Arial" w:hAnsi="Arial" w:cs="Arial"/>
          <w:color w:val="000000"/>
        </w:rPr>
        <w:t xml:space="preserve">e.g. </w:t>
      </w:r>
      <w:r>
        <w:rPr>
          <w:rFonts w:ascii="Arial" w:hAnsi="Arial" w:cs="Arial"/>
          <w:color w:val="000000"/>
        </w:rPr>
        <w:t xml:space="preserve">Directors </w:t>
      </w:r>
      <w:r w:rsidR="00513B1F">
        <w:rPr>
          <w:rFonts w:ascii="Arial" w:hAnsi="Arial" w:cs="Arial"/>
          <w:color w:val="000000"/>
        </w:rPr>
        <w:t>or</w:t>
      </w:r>
      <w:r>
        <w:rPr>
          <w:rFonts w:ascii="Arial" w:hAnsi="Arial" w:cs="Arial"/>
          <w:color w:val="000000"/>
        </w:rPr>
        <w:t xml:space="preserve"> Executive</w:t>
      </w:r>
      <w:r w:rsidR="00513B1F">
        <w:rPr>
          <w:rFonts w:ascii="Arial" w:hAnsi="Arial" w:cs="Arial"/>
          <w:color w:val="000000"/>
        </w:rPr>
        <w:t>s</w:t>
      </w:r>
      <w:r>
        <w:rPr>
          <w:rFonts w:ascii="Arial" w:hAnsi="Arial" w:cs="Arial"/>
          <w:color w:val="000000"/>
        </w:rPr>
        <w:t xml:space="preserve"> have separate pay arrangements agreed by the Trust Board.</w:t>
      </w:r>
    </w:p>
    <w:p w:rsidR="00967279" w:rsidRPr="00096175" w:rsidRDefault="00967279" w:rsidP="00967279">
      <w:pPr>
        <w:autoSpaceDE w:val="0"/>
        <w:autoSpaceDN w:val="0"/>
        <w:adjustRightInd w:val="0"/>
        <w:spacing w:after="0"/>
        <w:rPr>
          <w:rFonts w:ascii="Arial" w:hAnsi="Arial" w:cs="Arial"/>
          <w:color w:val="000000"/>
          <w:sz w:val="16"/>
          <w:szCs w:val="16"/>
        </w:rPr>
      </w:pPr>
    </w:p>
    <w:p w:rsidR="00A7017B" w:rsidRDefault="00967279" w:rsidP="00967279">
      <w:pPr>
        <w:autoSpaceDE w:val="0"/>
        <w:autoSpaceDN w:val="0"/>
        <w:adjustRightInd w:val="0"/>
        <w:spacing w:after="0"/>
        <w:rPr>
          <w:rFonts w:ascii="Arial" w:hAnsi="Arial" w:cs="Arial"/>
        </w:rPr>
      </w:pPr>
      <w:r>
        <w:rPr>
          <w:rFonts w:ascii="Arial" w:hAnsi="Arial" w:cs="Arial"/>
          <w:color w:val="000000"/>
        </w:rPr>
        <w:t xml:space="preserve">As an Acute </w:t>
      </w:r>
      <w:r w:rsidR="00C36C39">
        <w:rPr>
          <w:rFonts w:ascii="Arial" w:hAnsi="Arial" w:cs="Arial"/>
          <w:color w:val="000000"/>
        </w:rPr>
        <w:t xml:space="preserve">Trust </w:t>
      </w:r>
      <w:r>
        <w:rPr>
          <w:rFonts w:ascii="Arial" w:hAnsi="Arial" w:cs="Arial"/>
          <w:color w:val="000000"/>
        </w:rPr>
        <w:t>services</w:t>
      </w:r>
      <w:r w:rsidR="00AE5756">
        <w:rPr>
          <w:rFonts w:ascii="Arial" w:hAnsi="Arial" w:cs="Arial"/>
          <w:color w:val="000000"/>
        </w:rPr>
        <w:t xml:space="preserve"> are</w:t>
      </w:r>
      <w:r>
        <w:rPr>
          <w:rFonts w:ascii="Arial" w:hAnsi="Arial" w:cs="Arial"/>
          <w:color w:val="000000"/>
        </w:rPr>
        <w:t xml:space="preserve"> 24/7 and </w:t>
      </w:r>
      <w:r w:rsidR="00AE5756">
        <w:rPr>
          <w:rFonts w:ascii="Arial" w:hAnsi="Arial" w:cs="Arial"/>
          <w:color w:val="000000"/>
        </w:rPr>
        <w:t xml:space="preserve">some </w:t>
      </w:r>
      <w:r>
        <w:rPr>
          <w:rFonts w:ascii="Arial" w:hAnsi="Arial" w:cs="Arial"/>
          <w:color w:val="000000"/>
        </w:rPr>
        <w:t>employees may have bank and permanent positions, work unsocial hours and participate in on-call rotas for which they receive enhanced pay in addition to their basic pay. Senior medical staff are also paid additional responsibility payments where they hold management positions within the Trust, such as Medical, Clinical or Divisional Directors</w:t>
      </w:r>
      <w:r w:rsidR="00AE5756">
        <w:rPr>
          <w:rFonts w:ascii="Arial" w:hAnsi="Arial" w:cs="Arial"/>
          <w:color w:val="000000"/>
        </w:rPr>
        <w:t>. E</w:t>
      </w:r>
      <w:r>
        <w:rPr>
          <w:rFonts w:ascii="Arial" w:hAnsi="Arial" w:cs="Arial"/>
          <w:color w:val="000000"/>
        </w:rPr>
        <w:t xml:space="preserve">ligible medical staff are also paid Clinical Excellence Awards and / </w:t>
      </w:r>
      <w:r w:rsidRPr="00307421">
        <w:rPr>
          <w:rFonts w:ascii="Arial" w:hAnsi="Arial" w:cs="Arial"/>
        </w:rPr>
        <w:t xml:space="preserve">or payments for </w:t>
      </w:r>
      <w:r w:rsidRPr="00AE5756">
        <w:rPr>
          <w:rFonts w:ascii="Arial" w:hAnsi="Arial" w:cs="Arial"/>
          <w:b/>
        </w:rPr>
        <w:t>Additional Programmed Activities (APA’s)</w:t>
      </w:r>
      <w:r w:rsidRPr="00307421">
        <w:rPr>
          <w:rFonts w:ascii="Arial" w:hAnsi="Arial" w:cs="Arial"/>
        </w:rPr>
        <w:t xml:space="preserve"> in addition to their basic pay. This section of the wo</w:t>
      </w:r>
      <w:r w:rsidRPr="0040566D">
        <w:rPr>
          <w:rFonts w:ascii="Arial" w:hAnsi="Arial" w:cs="Arial"/>
          <w:color w:val="000000"/>
        </w:rPr>
        <w:t>rkforce h</w:t>
      </w:r>
      <w:r>
        <w:rPr>
          <w:rFonts w:ascii="Arial" w:hAnsi="Arial" w:cs="Arial"/>
          <w:color w:val="000000"/>
        </w:rPr>
        <w:t>as a higher proportion of males with longer service.</w:t>
      </w:r>
    </w:p>
    <w:p w:rsidR="00967279" w:rsidRPr="00513B1F" w:rsidRDefault="00967279" w:rsidP="00855380">
      <w:pPr>
        <w:autoSpaceDE w:val="0"/>
        <w:autoSpaceDN w:val="0"/>
        <w:adjustRightInd w:val="0"/>
        <w:spacing w:after="0"/>
        <w:jc w:val="center"/>
        <w:rPr>
          <w:rFonts w:ascii="Arial" w:hAnsi="Arial" w:cs="Arial"/>
          <w:b/>
          <w:sz w:val="16"/>
          <w:szCs w:val="16"/>
        </w:rPr>
      </w:pPr>
    </w:p>
    <w:p w:rsidR="00513B1F" w:rsidRPr="00513B1F" w:rsidRDefault="00513B1F" w:rsidP="00513B1F">
      <w:pPr>
        <w:spacing w:after="0"/>
        <w:rPr>
          <w:rFonts w:ascii="Arial" w:hAnsi="Arial" w:cs="Arial"/>
          <w:b/>
        </w:rPr>
      </w:pPr>
      <w:r w:rsidRPr="002E2103">
        <w:rPr>
          <w:rFonts w:ascii="Arial" w:hAnsi="Arial" w:cs="Arial"/>
          <w:b/>
        </w:rPr>
        <w:t xml:space="preserve">The Clinical Excellence </w:t>
      </w:r>
      <w:r w:rsidRPr="003E5E6A">
        <w:rPr>
          <w:rFonts w:ascii="Arial" w:hAnsi="Arial" w:cs="Arial"/>
          <w:b/>
        </w:rPr>
        <w:t>Awards</w:t>
      </w:r>
      <w:r w:rsidRPr="003E5E6A">
        <w:rPr>
          <w:rFonts w:ascii="Arial" w:hAnsi="Arial" w:cs="Arial"/>
        </w:rPr>
        <w:t xml:space="preserve"> </w:t>
      </w:r>
      <w:r w:rsidRPr="003E5E6A">
        <w:rPr>
          <w:rFonts w:ascii="Arial" w:hAnsi="Arial" w:cs="Arial"/>
          <w:b/>
        </w:rPr>
        <w:t>(CEA</w:t>
      </w:r>
      <w:r w:rsidRPr="003E5E6A">
        <w:rPr>
          <w:rFonts w:ascii="Arial" w:hAnsi="Arial" w:cs="Arial"/>
        </w:rPr>
        <w:t>)*</w:t>
      </w:r>
      <w:r w:rsidRPr="006E3332">
        <w:rPr>
          <w:rFonts w:ascii="Arial" w:hAnsi="Arial" w:cs="Arial"/>
        </w:rPr>
        <w:t xml:space="preserve"> is a bonus system which only applies to Medical consultants in recognition of outstanding achievements in high quality patient care. </w:t>
      </w:r>
      <w:r w:rsidRPr="00513B1F">
        <w:rPr>
          <w:rFonts w:ascii="Arial" w:hAnsi="Arial" w:cs="Arial"/>
          <w:b/>
        </w:rPr>
        <w:t xml:space="preserve">Consultants are a higher banded profession and the only group who receive a bonus.  </w:t>
      </w:r>
    </w:p>
    <w:p w:rsidR="00513B1F" w:rsidRPr="006C3041" w:rsidRDefault="00513B1F" w:rsidP="00513B1F">
      <w:pPr>
        <w:spacing w:after="0"/>
        <w:rPr>
          <w:rFonts w:ascii="Arial" w:hAnsi="Arial" w:cs="Arial"/>
          <w:sz w:val="16"/>
          <w:szCs w:val="16"/>
        </w:rPr>
      </w:pPr>
    </w:p>
    <w:p w:rsidR="00513B1F" w:rsidRPr="006E3332" w:rsidRDefault="00513B1F" w:rsidP="00513B1F">
      <w:pPr>
        <w:spacing w:after="0"/>
        <w:rPr>
          <w:rFonts w:ascii="Arial" w:hAnsi="Arial" w:cs="Arial"/>
        </w:rPr>
      </w:pPr>
      <w:r w:rsidRPr="006E3332">
        <w:rPr>
          <w:rFonts w:ascii="Arial" w:hAnsi="Arial" w:cs="Arial"/>
        </w:rPr>
        <w:t xml:space="preserve">Clinical Excellence Awards can be </w:t>
      </w:r>
      <w:r>
        <w:rPr>
          <w:rFonts w:ascii="Arial" w:hAnsi="Arial" w:cs="Arial"/>
        </w:rPr>
        <w:t xml:space="preserve">applied, </w:t>
      </w:r>
      <w:r w:rsidRPr="006E3332">
        <w:rPr>
          <w:rFonts w:ascii="Arial" w:hAnsi="Arial" w:cs="Arial"/>
        </w:rPr>
        <w:t xml:space="preserve">awarded </w:t>
      </w:r>
      <w:r>
        <w:rPr>
          <w:rFonts w:ascii="Arial" w:hAnsi="Arial" w:cs="Arial"/>
        </w:rPr>
        <w:t xml:space="preserve">and controlled </w:t>
      </w:r>
      <w:r w:rsidRPr="006E3332">
        <w:rPr>
          <w:rFonts w:ascii="Arial" w:hAnsi="Arial" w:cs="Arial"/>
        </w:rPr>
        <w:t xml:space="preserve">Nationally </w:t>
      </w:r>
      <w:r>
        <w:rPr>
          <w:rFonts w:ascii="Arial" w:hAnsi="Arial" w:cs="Arial"/>
        </w:rPr>
        <w:t>(</w:t>
      </w:r>
      <w:r w:rsidRPr="006E3332">
        <w:rPr>
          <w:rFonts w:ascii="Arial" w:hAnsi="Arial" w:cs="Arial"/>
        </w:rPr>
        <w:t>NCEA</w:t>
      </w:r>
      <w:r>
        <w:rPr>
          <w:rFonts w:ascii="Arial" w:hAnsi="Arial" w:cs="Arial"/>
        </w:rPr>
        <w:t>)</w:t>
      </w:r>
      <w:r w:rsidRPr="006E3332">
        <w:rPr>
          <w:rFonts w:ascii="Arial" w:hAnsi="Arial" w:cs="Arial"/>
        </w:rPr>
        <w:t xml:space="preserve"> or locally </w:t>
      </w:r>
      <w:r>
        <w:rPr>
          <w:rFonts w:ascii="Arial" w:hAnsi="Arial" w:cs="Arial"/>
        </w:rPr>
        <w:t>(</w:t>
      </w:r>
      <w:r w:rsidRPr="006E3332">
        <w:rPr>
          <w:rFonts w:ascii="Arial" w:hAnsi="Arial" w:cs="Arial"/>
        </w:rPr>
        <w:t>LCEA</w:t>
      </w:r>
      <w:r>
        <w:rPr>
          <w:rFonts w:ascii="Arial" w:hAnsi="Arial" w:cs="Arial"/>
        </w:rPr>
        <w:t xml:space="preserve">) but the Trust </w:t>
      </w:r>
      <w:r w:rsidRPr="006E3332">
        <w:rPr>
          <w:rFonts w:ascii="Arial" w:hAnsi="Arial" w:cs="Arial"/>
        </w:rPr>
        <w:t>pay</w:t>
      </w:r>
      <w:r>
        <w:rPr>
          <w:rFonts w:ascii="Arial" w:hAnsi="Arial" w:cs="Arial"/>
        </w:rPr>
        <w:t>s</w:t>
      </w:r>
      <w:r w:rsidRPr="006E3332">
        <w:rPr>
          <w:rFonts w:ascii="Arial" w:hAnsi="Arial" w:cs="Arial"/>
        </w:rPr>
        <w:t xml:space="preserve"> the bonus</w:t>
      </w:r>
      <w:r>
        <w:rPr>
          <w:rFonts w:ascii="Arial" w:hAnsi="Arial" w:cs="Arial"/>
        </w:rPr>
        <w:t xml:space="preserve"> for these</w:t>
      </w:r>
      <w:r w:rsidRPr="006E3332">
        <w:rPr>
          <w:rFonts w:ascii="Arial" w:hAnsi="Arial" w:cs="Arial"/>
        </w:rPr>
        <w:t xml:space="preserve">. </w:t>
      </w:r>
      <w:r>
        <w:rPr>
          <w:rFonts w:ascii="Arial" w:hAnsi="Arial" w:cs="Arial"/>
        </w:rPr>
        <w:t xml:space="preserve">A consultant needs to hold a substantive consultant appointment at the Trust for a year to be eligible to make an application for an LCEA. </w:t>
      </w:r>
    </w:p>
    <w:p w:rsidR="00513B1F" w:rsidRPr="00513B1F" w:rsidRDefault="00513B1F" w:rsidP="00513B1F">
      <w:pPr>
        <w:spacing w:after="0"/>
        <w:rPr>
          <w:rFonts w:ascii="Arial" w:hAnsi="Arial" w:cs="Arial"/>
          <w:sz w:val="16"/>
          <w:szCs w:val="16"/>
        </w:rPr>
      </w:pPr>
    </w:p>
    <w:p w:rsidR="00832692" w:rsidRDefault="00832692" w:rsidP="00513B1F">
      <w:pPr>
        <w:spacing w:after="0"/>
        <w:rPr>
          <w:rFonts w:ascii="Arial" w:hAnsi="Arial" w:cs="Arial"/>
        </w:rPr>
      </w:pPr>
      <w:r>
        <w:rPr>
          <w:rFonts w:ascii="Arial" w:hAnsi="Arial" w:cs="Arial"/>
        </w:rPr>
        <w:t>For</w:t>
      </w:r>
      <w:r w:rsidR="00513B1F">
        <w:rPr>
          <w:rFonts w:ascii="Arial" w:hAnsi="Arial" w:cs="Arial"/>
        </w:rPr>
        <w:t xml:space="preserve"> some years only</w:t>
      </w:r>
      <w:r w:rsidR="00513B1F" w:rsidRPr="0034379F">
        <w:rPr>
          <w:rFonts w:ascii="Arial" w:hAnsi="Arial" w:cs="Arial"/>
        </w:rPr>
        <w:t xml:space="preserve"> LCEA have been awarded to Trust consultants. This is was either because consultants were not eligible or chose not to apply. </w:t>
      </w:r>
      <w:r>
        <w:rPr>
          <w:rFonts w:ascii="Arial" w:hAnsi="Arial" w:cs="Arial"/>
          <w:b/>
        </w:rPr>
        <w:t xml:space="preserve">NB </w:t>
      </w:r>
      <w:r>
        <w:rPr>
          <w:rFonts w:ascii="Arial" w:hAnsi="Arial" w:cs="Arial"/>
        </w:rPr>
        <w:t>See page 13 in the Additional Information for the changes that have occurred to the Bonus systems during and since Covid 19.</w:t>
      </w:r>
    </w:p>
    <w:p w:rsidR="00832692" w:rsidRDefault="00832692" w:rsidP="00513B1F">
      <w:pPr>
        <w:spacing w:after="0"/>
        <w:rPr>
          <w:rFonts w:ascii="Arial" w:hAnsi="Arial" w:cs="Arial"/>
        </w:rPr>
      </w:pPr>
    </w:p>
    <w:p w:rsidR="00832692" w:rsidRPr="0034379F" w:rsidRDefault="00832692" w:rsidP="00513B1F">
      <w:pPr>
        <w:spacing w:after="0"/>
        <w:rPr>
          <w:rFonts w:ascii="Arial" w:hAnsi="Arial" w:cs="Arial"/>
        </w:rPr>
      </w:pPr>
    </w:p>
    <w:p w:rsidR="00855380" w:rsidRDefault="00855380" w:rsidP="00855380">
      <w:pPr>
        <w:autoSpaceDE w:val="0"/>
        <w:autoSpaceDN w:val="0"/>
        <w:adjustRightInd w:val="0"/>
        <w:spacing w:after="0"/>
        <w:jc w:val="center"/>
        <w:rPr>
          <w:rFonts w:ascii="Arial" w:hAnsi="Arial" w:cs="Arial"/>
          <w:b/>
          <w:sz w:val="28"/>
          <w:szCs w:val="28"/>
        </w:rPr>
      </w:pPr>
      <w:r w:rsidRPr="00096175">
        <w:rPr>
          <w:rFonts w:ascii="Arial" w:hAnsi="Arial" w:cs="Arial"/>
          <w:b/>
          <w:sz w:val="28"/>
          <w:szCs w:val="28"/>
          <w:highlight w:val="lightGray"/>
        </w:rPr>
        <w:t>DATA SUBMISSION MARCH 2022</w:t>
      </w:r>
    </w:p>
    <w:p w:rsidR="00855380" w:rsidRPr="00EE065B" w:rsidRDefault="00855380" w:rsidP="00855380">
      <w:pPr>
        <w:autoSpaceDE w:val="0"/>
        <w:autoSpaceDN w:val="0"/>
        <w:adjustRightInd w:val="0"/>
        <w:spacing w:after="0"/>
        <w:jc w:val="center"/>
        <w:rPr>
          <w:rFonts w:ascii="Arial" w:hAnsi="Arial" w:cs="Arial"/>
          <w:b/>
          <w:sz w:val="16"/>
          <w:szCs w:val="16"/>
        </w:rPr>
      </w:pPr>
    </w:p>
    <w:p w:rsidR="0010481B" w:rsidRPr="00855380" w:rsidRDefault="0010481B" w:rsidP="0083719D">
      <w:pPr>
        <w:pStyle w:val="Heading1"/>
        <w:spacing w:before="0" w:after="120"/>
        <w:rPr>
          <w:rFonts w:ascii="Arial" w:hAnsi="Arial" w:cs="Arial"/>
          <w:color w:val="auto"/>
          <w:sz w:val="24"/>
          <w:szCs w:val="24"/>
        </w:rPr>
      </w:pPr>
      <w:r w:rsidRPr="00855380">
        <w:rPr>
          <w:rFonts w:ascii="Arial" w:hAnsi="Arial" w:cs="Arial"/>
          <w:color w:val="auto"/>
          <w:sz w:val="24"/>
          <w:szCs w:val="24"/>
        </w:rPr>
        <w:t>BHFT Statutory Data submitted March 202</w:t>
      </w:r>
      <w:r w:rsidR="00166456">
        <w:rPr>
          <w:rFonts w:ascii="Arial" w:hAnsi="Arial" w:cs="Arial"/>
          <w:color w:val="auto"/>
          <w:sz w:val="24"/>
          <w:szCs w:val="24"/>
        </w:rPr>
        <w:t>3</w:t>
      </w:r>
      <w:r w:rsidRPr="00855380">
        <w:rPr>
          <w:rFonts w:ascii="Arial" w:hAnsi="Arial" w:cs="Arial"/>
          <w:color w:val="auto"/>
          <w:sz w:val="24"/>
          <w:szCs w:val="24"/>
        </w:rPr>
        <w:t xml:space="preserve"> (relevant to </w:t>
      </w:r>
      <w:r w:rsidR="00096175">
        <w:rPr>
          <w:rFonts w:ascii="Arial" w:hAnsi="Arial" w:cs="Arial"/>
          <w:color w:val="auto"/>
          <w:sz w:val="24"/>
          <w:szCs w:val="24"/>
        </w:rPr>
        <w:t xml:space="preserve">year ending </w:t>
      </w:r>
      <w:r w:rsidRPr="00855380">
        <w:rPr>
          <w:rFonts w:ascii="Arial" w:hAnsi="Arial" w:cs="Arial"/>
          <w:color w:val="auto"/>
          <w:sz w:val="24"/>
          <w:szCs w:val="24"/>
        </w:rPr>
        <w:t>March 202</w:t>
      </w:r>
      <w:r w:rsidR="00166456">
        <w:rPr>
          <w:rFonts w:ascii="Arial" w:hAnsi="Arial" w:cs="Arial"/>
          <w:color w:val="auto"/>
          <w:sz w:val="24"/>
          <w:szCs w:val="24"/>
        </w:rPr>
        <w:t>2</w:t>
      </w:r>
      <w:r w:rsidRPr="00855380">
        <w:rPr>
          <w:rFonts w:ascii="Arial" w:hAnsi="Arial" w:cs="Arial"/>
          <w:color w:val="auto"/>
          <w:sz w:val="24"/>
          <w:szCs w:val="24"/>
        </w:rPr>
        <w:t>)</w:t>
      </w:r>
    </w:p>
    <w:p w:rsidR="007E0584" w:rsidRDefault="00096175" w:rsidP="003E0C40">
      <w:pPr>
        <w:rPr>
          <w:rFonts w:ascii="Arial" w:hAnsi="Arial" w:cs="Arial"/>
        </w:rPr>
      </w:pPr>
      <w:r>
        <w:rPr>
          <w:rFonts w:ascii="Arial" w:hAnsi="Arial" w:cs="Arial"/>
        </w:rPr>
        <w:t xml:space="preserve">The </w:t>
      </w:r>
      <w:r w:rsidR="00E47A76">
        <w:rPr>
          <w:rFonts w:ascii="Arial" w:hAnsi="Arial" w:cs="Arial"/>
        </w:rPr>
        <w:t>payroll base for the Trust was not merged until 1</w:t>
      </w:r>
      <w:r w:rsidR="00E47A76" w:rsidRPr="00E47A76">
        <w:rPr>
          <w:rFonts w:ascii="Arial" w:hAnsi="Arial" w:cs="Arial"/>
          <w:vertAlign w:val="superscript"/>
        </w:rPr>
        <w:t>st</w:t>
      </w:r>
      <w:r w:rsidR="00E47A76">
        <w:rPr>
          <w:rFonts w:ascii="Arial" w:hAnsi="Arial" w:cs="Arial"/>
        </w:rPr>
        <w:t xml:space="preserve"> A</w:t>
      </w:r>
      <w:r w:rsidR="00861460">
        <w:rPr>
          <w:rFonts w:ascii="Arial" w:hAnsi="Arial" w:cs="Arial"/>
        </w:rPr>
        <w:t xml:space="preserve">pril 2021, </w:t>
      </w:r>
      <w:r>
        <w:rPr>
          <w:rFonts w:ascii="Arial" w:hAnsi="Arial" w:cs="Arial"/>
        </w:rPr>
        <w:t xml:space="preserve">and so </w:t>
      </w:r>
      <w:r w:rsidR="00166456">
        <w:rPr>
          <w:rFonts w:ascii="Arial" w:hAnsi="Arial" w:cs="Arial"/>
        </w:rPr>
        <w:t xml:space="preserve">last year’s </w:t>
      </w:r>
      <w:r w:rsidR="00E47A76">
        <w:rPr>
          <w:rFonts w:ascii="Arial" w:hAnsi="Arial" w:cs="Arial"/>
        </w:rPr>
        <w:t xml:space="preserve">BHFT data submission had to be manually merged which </w:t>
      </w:r>
      <w:r w:rsidR="00166456">
        <w:rPr>
          <w:rFonts w:ascii="Arial" w:hAnsi="Arial" w:cs="Arial"/>
        </w:rPr>
        <w:t>was</w:t>
      </w:r>
      <w:r w:rsidR="00E47A76">
        <w:rPr>
          <w:rFonts w:ascii="Arial" w:hAnsi="Arial" w:cs="Arial"/>
        </w:rPr>
        <w:t xml:space="preserve"> </w:t>
      </w:r>
      <w:r w:rsidR="00861460">
        <w:rPr>
          <w:rFonts w:ascii="Arial" w:hAnsi="Arial" w:cs="Arial"/>
        </w:rPr>
        <w:t xml:space="preserve">not </w:t>
      </w:r>
      <w:r w:rsidR="004C6429">
        <w:rPr>
          <w:rFonts w:ascii="Arial" w:hAnsi="Arial" w:cs="Arial"/>
        </w:rPr>
        <w:t xml:space="preserve">easy e.g. </w:t>
      </w:r>
      <w:r w:rsidR="00166456">
        <w:rPr>
          <w:rFonts w:ascii="Arial" w:hAnsi="Arial" w:cs="Arial"/>
        </w:rPr>
        <w:t xml:space="preserve">some staff work across site. At </w:t>
      </w:r>
      <w:r w:rsidR="00706B69">
        <w:rPr>
          <w:rFonts w:ascii="Arial" w:hAnsi="Arial" w:cs="Arial"/>
        </w:rPr>
        <w:t xml:space="preserve">year end </w:t>
      </w:r>
      <w:r w:rsidR="00166456">
        <w:rPr>
          <w:rFonts w:ascii="Arial" w:hAnsi="Arial" w:cs="Arial"/>
        </w:rPr>
        <w:t>March 2022 t</w:t>
      </w:r>
      <w:r w:rsidR="00E47A76">
        <w:rPr>
          <w:rFonts w:ascii="Arial" w:hAnsi="Arial" w:cs="Arial"/>
        </w:rPr>
        <w:t xml:space="preserve">here is more confidence of full </w:t>
      </w:r>
      <w:r>
        <w:rPr>
          <w:rFonts w:ascii="Arial" w:hAnsi="Arial" w:cs="Arial"/>
        </w:rPr>
        <w:t xml:space="preserve">data </w:t>
      </w:r>
      <w:r w:rsidR="00706B69">
        <w:rPr>
          <w:rFonts w:ascii="Arial" w:hAnsi="Arial" w:cs="Arial"/>
        </w:rPr>
        <w:t xml:space="preserve">accuracy. </w:t>
      </w:r>
      <w:r w:rsidR="009A403E" w:rsidRPr="00B9775A">
        <w:rPr>
          <w:rFonts w:ascii="Arial" w:hAnsi="Arial" w:cs="Arial"/>
        </w:rPr>
        <w:t xml:space="preserve">Significant to this data is the Gender Profile of BHFT </w:t>
      </w:r>
      <w:r w:rsidR="00B9775A" w:rsidRPr="003E0C40">
        <w:rPr>
          <w:rFonts w:ascii="Arial" w:hAnsi="Arial" w:cs="Arial"/>
        </w:rPr>
        <w:t xml:space="preserve">see page </w:t>
      </w:r>
      <w:r w:rsidR="003E0C40">
        <w:rPr>
          <w:rFonts w:ascii="Arial" w:hAnsi="Arial" w:cs="Arial"/>
        </w:rPr>
        <w:t>5.</w:t>
      </w:r>
    </w:p>
    <w:p w:rsidR="003E0C40" w:rsidRPr="00B9775A" w:rsidRDefault="003E0C40" w:rsidP="003E0C40">
      <w:pPr>
        <w:rPr>
          <w:rFonts w:ascii="Arial" w:hAnsi="Arial" w:cs="Arial"/>
          <w:color w:val="FF0000"/>
        </w:rPr>
      </w:pPr>
    </w:p>
    <w:p w:rsidR="00967279" w:rsidRDefault="00967279" w:rsidP="007E0584">
      <w:pPr>
        <w:pStyle w:val="Heading1"/>
        <w:spacing w:before="0" w:after="240"/>
        <w:jc w:val="center"/>
        <w:rPr>
          <w:rFonts w:ascii="Arial" w:hAnsi="Arial" w:cs="Arial"/>
          <w:color w:val="auto"/>
        </w:rPr>
      </w:pPr>
      <w:r w:rsidRPr="00861460">
        <w:rPr>
          <w:rFonts w:ascii="Arial" w:hAnsi="Arial" w:cs="Arial"/>
          <w:color w:val="auto"/>
          <w:highlight w:val="lightGray"/>
        </w:rPr>
        <w:t>Pay Gap - Mean and Median Results for 202</w:t>
      </w:r>
      <w:r w:rsidR="00706B69">
        <w:rPr>
          <w:rFonts w:ascii="Arial" w:hAnsi="Arial" w:cs="Arial"/>
          <w:color w:val="auto"/>
          <w:highlight w:val="lightGray"/>
        </w:rPr>
        <w:t>2</w:t>
      </w:r>
      <w:r w:rsidRPr="00861460">
        <w:rPr>
          <w:rFonts w:ascii="Arial" w:hAnsi="Arial" w:cs="Arial"/>
          <w:color w:val="auto"/>
          <w:highlight w:val="lightGray"/>
        </w:rPr>
        <w:t xml:space="preserve"> dat</w:t>
      </w:r>
      <w:r w:rsidR="009A403E" w:rsidRPr="00861460">
        <w:rPr>
          <w:rFonts w:ascii="Arial" w:hAnsi="Arial" w:cs="Arial"/>
          <w:color w:val="auto"/>
          <w:highlight w:val="lightGray"/>
        </w:rPr>
        <w:t>a</w:t>
      </w:r>
    </w:p>
    <w:p w:rsidR="003E0C40" w:rsidRPr="003E0C40" w:rsidRDefault="003E0C40" w:rsidP="003E0C40"/>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2410"/>
        <w:gridCol w:w="2410"/>
      </w:tblGrid>
      <w:tr w:rsidR="00967279" w:rsidTr="00B9775A">
        <w:trPr>
          <w:trHeight w:val="1296"/>
        </w:trPr>
        <w:tc>
          <w:tcPr>
            <w:tcW w:w="2410" w:type="dxa"/>
            <w:shd w:val="clear" w:color="auto" w:fill="C6D9F1" w:themeFill="text2" w:themeFillTint="33"/>
          </w:tcPr>
          <w:p w:rsidR="00861460" w:rsidRPr="004C6429" w:rsidRDefault="00967279" w:rsidP="00B9775A">
            <w:pPr>
              <w:spacing w:before="240" w:after="0" w:line="240" w:lineRule="auto"/>
              <w:jc w:val="center"/>
              <w:rPr>
                <w:rFonts w:ascii="Arial" w:hAnsi="Arial" w:cs="Arial"/>
                <w:b/>
                <w:sz w:val="24"/>
                <w:szCs w:val="24"/>
              </w:rPr>
            </w:pPr>
            <w:r w:rsidRPr="004C6429">
              <w:rPr>
                <w:rFonts w:ascii="Arial" w:hAnsi="Arial" w:cs="Arial"/>
                <w:b/>
                <w:sz w:val="24"/>
                <w:szCs w:val="24"/>
              </w:rPr>
              <w:t xml:space="preserve">MEAN </w:t>
            </w:r>
          </w:p>
          <w:p w:rsidR="00B9775A" w:rsidRPr="004C6429" w:rsidRDefault="00B9775A" w:rsidP="00861460">
            <w:pPr>
              <w:spacing w:after="0" w:line="240" w:lineRule="auto"/>
              <w:jc w:val="center"/>
              <w:rPr>
                <w:rFonts w:ascii="Arial" w:hAnsi="Arial" w:cs="Arial"/>
                <w:b/>
                <w:sz w:val="24"/>
                <w:szCs w:val="24"/>
              </w:rPr>
            </w:pPr>
            <w:r w:rsidRPr="004C6429">
              <w:rPr>
                <w:rFonts w:ascii="Arial" w:hAnsi="Arial" w:cs="Arial"/>
                <w:b/>
                <w:sz w:val="24"/>
                <w:szCs w:val="24"/>
              </w:rPr>
              <w:t xml:space="preserve">PAY GAP </w:t>
            </w:r>
          </w:p>
          <w:p w:rsidR="00B9775A" w:rsidRPr="004C6429" w:rsidRDefault="00B9775A" w:rsidP="00B9775A">
            <w:pPr>
              <w:spacing w:after="0" w:line="240" w:lineRule="auto"/>
              <w:jc w:val="center"/>
              <w:rPr>
                <w:rFonts w:ascii="Arial" w:hAnsi="Arial" w:cs="Arial"/>
                <w:sz w:val="24"/>
                <w:szCs w:val="24"/>
              </w:rPr>
            </w:pPr>
            <w:r w:rsidRPr="004C6429">
              <w:rPr>
                <w:rFonts w:ascii="Arial" w:hAnsi="Arial" w:cs="Arial"/>
                <w:sz w:val="24"/>
                <w:szCs w:val="24"/>
              </w:rPr>
              <w:t>(</w:t>
            </w:r>
            <w:r w:rsidR="009A403E" w:rsidRPr="004C6429">
              <w:rPr>
                <w:rFonts w:ascii="Arial" w:hAnsi="Arial" w:cs="Arial"/>
                <w:sz w:val="24"/>
                <w:szCs w:val="24"/>
              </w:rPr>
              <w:t>or</w:t>
            </w:r>
            <w:r w:rsidR="00967279" w:rsidRPr="004C6429">
              <w:rPr>
                <w:rFonts w:ascii="Arial" w:hAnsi="Arial" w:cs="Arial"/>
                <w:sz w:val="24"/>
                <w:szCs w:val="24"/>
              </w:rPr>
              <w:t xml:space="preserve"> </w:t>
            </w:r>
            <w:r w:rsidRPr="004C6429">
              <w:rPr>
                <w:rFonts w:ascii="Arial" w:hAnsi="Arial" w:cs="Arial"/>
                <w:sz w:val="24"/>
                <w:szCs w:val="24"/>
              </w:rPr>
              <w:t xml:space="preserve">average) </w:t>
            </w:r>
          </w:p>
          <w:p w:rsidR="00967279" w:rsidRPr="004C6429" w:rsidRDefault="00426A9B" w:rsidP="00426A9B">
            <w:pPr>
              <w:spacing w:after="0" w:line="240" w:lineRule="auto"/>
              <w:jc w:val="center"/>
              <w:rPr>
                <w:rFonts w:ascii="Arial" w:hAnsi="Arial" w:cs="Arial"/>
                <w:b/>
                <w:sz w:val="24"/>
                <w:szCs w:val="24"/>
              </w:rPr>
            </w:pPr>
            <w:r>
              <w:rPr>
                <w:rFonts w:ascii="Arial" w:hAnsi="Arial" w:cs="Arial"/>
                <w:b/>
                <w:sz w:val="24"/>
                <w:szCs w:val="24"/>
              </w:rPr>
              <w:t>27.2</w:t>
            </w:r>
            <w:r w:rsidR="00967279" w:rsidRPr="004C6429">
              <w:rPr>
                <w:rFonts w:ascii="Arial" w:hAnsi="Arial" w:cs="Arial"/>
                <w:b/>
                <w:sz w:val="24"/>
                <w:szCs w:val="24"/>
              </w:rPr>
              <w:t>%</w:t>
            </w:r>
          </w:p>
        </w:tc>
        <w:tc>
          <w:tcPr>
            <w:tcW w:w="2410" w:type="dxa"/>
            <w:shd w:val="clear" w:color="auto" w:fill="C6D9F1" w:themeFill="text2" w:themeFillTint="33"/>
          </w:tcPr>
          <w:p w:rsidR="00B9775A" w:rsidRPr="004C6429" w:rsidRDefault="00967279" w:rsidP="00B9775A">
            <w:pPr>
              <w:spacing w:before="240" w:after="0" w:line="240" w:lineRule="auto"/>
              <w:jc w:val="center"/>
              <w:rPr>
                <w:rFonts w:ascii="Arial" w:hAnsi="Arial" w:cs="Arial"/>
                <w:b/>
                <w:sz w:val="24"/>
                <w:szCs w:val="24"/>
              </w:rPr>
            </w:pPr>
            <w:r w:rsidRPr="004C6429">
              <w:rPr>
                <w:rFonts w:ascii="Arial" w:hAnsi="Arial" w:cs="Arial"/>
                <w:b/>
                <w:sz w:val="24"/>
                <w:szCs w:val="24"/>
              </w:rPr>
              <w:t>MEDIAN</w:t>
            </w:r>
            <w:r w:rsidR="00B9775A" w:rsidRPr="004C6429">
              <w:rPr>
                <w:rFonts w:ascii="Arial" w:hAnsi="Arial" w:cs="Arial"/>
                <w:b/>
                <w:sz w:val="24"/>
                <w:szCs w:val="24"/>
              </w:rPr>
              <w:t xml:space="preserve"> </w:t>
            </w:r>
          </w:p>
          <w:p w:rsidR="00967279" w:rsidRPr="004C6429" w:rsidRDefault="00B9775A" w:rsidP="00B9775A">
            <w:pPr>
              <w:spacing w:after="0" w:line="240" w:lineRule="auto"/>
              <w:jc w:val="center"/>
              <w:rPr>
                <w:rFonts w:ascii="Arial" w:hAnsi="Arial" w:cs="Arial"/>
                <w:b/>
                <w:sz w:val="24"/>
                <w:szCs w:val="24"/>
              </w:rPr>
            </w:pPr>
            <w:r w:rsidRPr="004C6429">
              <w:rPr>
                <w:rFonts w:ascii="Arial" w:hAnsi="Arial" w:cs="Arial"/>
                <w:b/>
                <w:sz w:val="24"/>
                <w:szCs w:val="24"/>
              </w:rPr>
              <w:t>P</w:t>
            </w:r>
            <w:r w:rsidR="00967279" w:rsidRPr="004C6429">
              <w:rPr>
                <w:rFonts w:ascii="Arial" w:hAnsi="Arial" w:cs="Arial"/>
                <w:b/>
                <w:sz w:val="24"/>
                <w:szCs w:val="24"/>
              </w:rPr>
              <w:t>AY GAP</w:t>
            </w:r>
          </w:p>
          <w:p w:rsidR="00967279" w:rsidRPr="004C6429" w:rsidRDefault="00967279" w:rsidP="00B9775A">
            <w:pPr>
              <w:spacing w:after="0" w:line="240" w:lineRule="auto"/>
              <w:jc w:val="center"/>
              <w:rPr>
                <w:rFonts w:ascii="Arial" w:hAnsi="Arial" w:cs="Arial"/>
                <w:b/>
                <w:sz w:val="24"/>
                <w:szCs w:val="24"/>
              </w:rPr>
            </w:pPr>
          </w:p>
          <w:p w:rsidR="00B9775A" w:rsidRPr="004C6429" w:rsidRDefault="00426A9B" w:rsidP="00426A9B">
            <w:pPr>
              <w:spacing w:line="240" w:lineRule="auto"/>
              <w:jc w:val="center"/>
              <w:rPr>
                <w:rFonts w:ascii="Arial" w:hAnsi="Arial" w:cs="Arial"/>
                <w:b/>
                <w:sz w:val="24"/>
                <w:szCs w:val="24"/>
              </w:rPr>
            </w:pPr>
            <w:r>
              <w:rPr>
                <w:rFonts w:ascii="Arial" w:hAnsi="Arial" w:cs="Arial"/>
                <w:b/>
                <w:sz w:val="24"/>
                <w:szCs w:val="24"/>
              </w:rPr>
              <w:t>18.5</w:t>
            </w:r>
            <w:r w:rsidR="00967279" w:rsidRPr="004C6429">
              <w:rPr>
                <w:rFonts w:ascii="Arial" w:hAnsi="Arial" w:cs="Arial"/>
                <w:b/>
                <w:sz w:val="24"/>
                <w:szCs w:val="24"/>
              </w:rPr>
              <w:t>%</w:t>
            </w:r>
          </w:p>
        </w:tc>
      </w:tr>
    </w:tbl>
    <w:p w:rsidR="003E0C40" w:rsidRDefault="003E0C40" w:rsidP="009D413A">
      <w:pPr>
        <w:spacing w:after="0"/>
        <w:jc w:val="center"/>
        <w:rPr>
          <w:rFonts w:ascii="Arial" w:hAnsi="Arial" w:cs="Arial"/>
          <w:b/>
          <w:sz w:val="20"/>
          <w:szCs w:val="20"/>
        </w:rPr>
      </w:pPr>
    </w:p>
    <w:p w:rsidR="00855380" w:rsidRDefault="00855380" w:rsidP="009D413A">
      <w:pPr>
        <w:spacing w:after="0"/>
        <w:jc w:val="center"/>
        <w:rPr>
          <w:rFonts w:ascii="Arial" w:hAnsi="Arial" w:cs="Arial"/>
          <w:b/>
          <w:sz w:val="20"/>
          <w:szCs w:val="20"/>
        </w:rPr>
      </w:pPr>
      <w:r w:rsidRPr="00855380">
        <w:rPr>
          <w:rFonts w:ascii="Arial" w:hAnsi="Arial" w:cs="Arial"/>
          <w:b/>
          <w:sz w:val="20"/>
          <w:szCs w:val="20"/>
        </w:rPr>
        <w:t xml:space="preserve">DIFFERENCE IN AVERAGE </w:t>
      </w:r>
      <w:r w:rsidR="004C6429">
        <w:rPr>
          <w:rFonts w:ascii="Arial" w:hAnsi="Arial" w:cs="Arial"/>
          <w:b/>
          <w:sz w:val="20"/>
          <w:szCs w:val="20"/>
        </w:rPr>
        <w:t xml:space="preserve">AND MEDIAN </w:t>
      </w:r>
      <w:r w:rsidRPr="00855380">
        <w:rPr>
          <w:rFonts w:ascii="Arial" w:hAnsi="Arial" w:cs="Arial"/>
          <w:b/>
          <w:sz w:val="20"/>
          <w:szCs w:val="20"/>
        </w:rPr>
        <w:t>HOURLY PAY MALE / FEMALE</w:t>
      </w:r>
    </w:p>
    <w:p w:rsidR="009A403E" w:rsidRPr="00855380" w:rsidRDefault="009A403E" w:rsidP="00EE065B">
      <w:pPr>
        <w:spacing w:after="0"/>
        <w:rPr>
          <w:rFonts w:ascii="Arial" w:hAnsi="Arial" w:cs="Arial"/>
          <w:b/>
          <w:sz w:val="20"/>
          <w:szCs w:val="20"/>
        </w:rPr>
      </w:pPr>
    </w:p>
    <w:tbl>
      <w:tblPr>
        <w:tblW w:w="6086" w:type="dxa"/>
        <w:tblInd w:w="1760" w:type="dxa"/>
        <w:tblLook w:val="04A0" w:firstRow="1" w:lastRow="0" w:firstColumn="1" w:lastColumn="0" w:noHBand="0" w:noVBand="1"/>
      </w:tblPr>
      <w:tblGrid>
        <w:gridCol w:w="1280"/>
        <w:gridCol w:w="2396"/>
        <w:gridCol w:w="2410"/>
      </w:tblGrid>
      <w:tr w:rsidR="00E47A76" w:rsidRPr="00E47A76" w:rsidTr="00426A9B">
        <w:trPr>
          <w:trHeight w:val="270"/>
        </w:trPr>
        <w:tc>
          <w:tcPr>
            <w:tcW w:w="1280" w:type="dxa"/>
            <w:tcBorders>
              <w:top w:val="single" w:sz="8" w:space="0" w:color="969696"/>
              <w:left w:val="single" w:sz="8" w:space="0" w:color="969696"/>
              <w:bottom w:val="single" w:sz="8" w:space="0" w:color="969696"/>
              <w:right w:val="nil"/>
            </w:tcBorders>
            <w:shd w:val="clear" w:color="000000" w:fill="9BC2E6"/>
            <w:vAlign w:val="center"/>
            <w:hideMark/>
          </w:tcPr>
          <w:p w:rsidR="00E47A76" w:rsidRPr="00E47A76" w:rsidRDefault="00E47A76" w:rsidP="00E47A76">
            <w:pPr>
              <w:spacing w:after="0" w:line="240" w:lineRule="auto"/>
              <w:rPr>
                <w:rFonts w:ascii="Calibri" w:eastAsia="Times New Roman" w:hAnsi="Calibri" w:cs="Calibri"/>
                <w:b/>
                <w:bCs/>
                <w:color w:val="000000"/>
                <w:sz w:val="24"/>
                <w:szCs w:val="24"/>
                <w:lang w:eastAsia="en-GB"/>
              </w:rPr>
            </w:pPr>
            <w:r w:rsidRPr="00E47A76">
              <w:rPr>
                <w:rFonts w:ascii="Calibri" w:eastAsia="Times New Roman" w:hAnsi="Calibri" w:cs="Calibri"/>
                <w:b/>
                <w:bCs/>
                <w:color w:val="000000"/>
                <w:sz w:val="24"/>
                <w:szCs w:val="24"/>
                <w:lang w:eastAsia="en-GB"/>
              </w:rPr>
              <w:t>Gender</w:t>
            </w:r>
          </w:p>
        </w:tc>
        <w:tc>
          <w:tcPr>
            <w:tcW w:w="2396" w:type="dxa"/>
            <w:tcBorders>
              <w:top w:val="single" w:sz="8" w:space="0" w:color="969696"/>
              <w:left w:val="single" w:sz="8" w:space="0" w:color="969696"/>
              <w:bottom w:val="single" w:sz="8" w:space="0" w:color="969696"/>
              <w:right w:val="nil"/>
            </w:tcBorders>
            <w:shd w:val="clear" w:color="000000" w:fill="9BC2E6"/>
            <w:vAlign w:val="center"/>
            <w:hideMark/>
          </w:tcPr>
          <w:p w:rsidR="00E47A76" w:rsidRPr="00E47A76" w:rsidRDefault="00E47A76" w:rsidP="00855380">
            <w:pPr>
              <w:spacing w:after="0" w:line="240" w:lineRule="auto"/>
              <w:jc w:val="center"/>
              <w:rPr>
                <w:rFonts w:ascii="Calibri" w:eastAsia="Times New Roman" w:hAnsi="Calibri" w:cs="Calibri"/>
                <w:b/>
                <w:bCs/>
                <w:color w:val="000000"/>
                <w:sz w:val="24"/>
                <w:szCs w:val="24"/>
                <w:lang w:eastAsia="en-GB"/>
              </w:rPr>
            </w:pPr>
            <w:r w:rsidRPr="00E47A76">
              <w:rPr>
                <w:rFonts w:ascii="Calibri" w:eastAsia="Times New Roman" w:hAnsi="Calibri" w:cs="Calibri"/>
                <w:b/>
                <w:bCs/>
                <w:color w:val="000000"/>
                <w:sz w:val="24"/>
                <w:szCs w:val="24"/>
                <w:lang w:eastAsia="en-GB"/>
              </w:rPr>
              <w:t>Av</w:t>
            </w:r>
            <w:r w:rsidR="00855380">
              <w:rPr>
                <w:rFonts w:ascii="Calibri" w:eastAsia="Times New Roman" w:hAnsi="Calibri" w:cs="Calibri"/>
                <w:b/>
                <w:bCs/>
                <w:color w:val="000000"/>
                <w:sz w:val="24"/>
                <w:szCs w:val="24"/>
                <w:lang w:eastAsia="en-GB"/>
              </w:rPr>
              <w:t>erage</w:t>
            </w:r>
            <w:r w:rsidRPr="00E47A76">
              <w:rPr>
                <w:rFonts w:ascii="Calibri" w:eastAsia="Times New Roman" w:hAnsi="Calibri" w:cs="Calibri"/>
                <w:b/>
                <w:bCs/>
                <w:color w:val="000000"/>
                <w:sz w:val="24"/>
                <w:szCs w:val="24"/>
                <w:lang w:eastAsia="en-GB"/>
              </w:rPr>
              <w:t xml:space="preserve"> Hourly Rate</w:t>
            </w:r>
          </w:p>
        </w:tc>
        <w:tc>
          <w:tcPr>
            <w:tcW w:w="2410" w:type="dxa"/>
            <w:tcBorders>
              <w:top w:val="single" w:sz="8" w:space="0" w:color="969696"/>
              <w:left w:val="single" w:sz="8" w:space="0" w:color="969696"/>
              <w:bottom w:val="single" w:sz="8" w:space="0" w:color="969696"/>
              <w:right w:val="single" w:sz="8" w:space="0" w:color="969696"/>
            </w:tcBorders>
            <w:shd w:val="clear" w:color="000000" w:fill="9BC2E6"/>
            <w:vAlign w:val="center"/>
            <w:hideMark/>
          </w:tcPr>
          <w:p w:rsidR="00E47A76" w:rsidRPr="00E47A76" w:rsidRDefault="00E47A76" w:rsidP="00E47A76">
            <w:pPr>
              <w:spacing w:after="0" w:line="240" w:lineRule="auto"/>
              <w:jc w:val="center"/>
              <w:rPr>
                <w:rFonts w:ascii="Calibri" w:eastAsia="Times New Roman" w:hAnsi="Calibri" w:cs="Calibri"/>
                <w:b/>
                <w:bCs/>
                <w:color w:val="000000"/>
                <w:sz w:val="24"/>
                <w:szCs w:val="24"/>
                <w:lang w:eastAsia="en-GB"/>
              </w:rPr>
            </w:pPr>
            <w:r w:rsidRPr="00E47A76">
              <w:rPr>
                <w:rFonts w:ascii="Calibri" w:eastAsia="Times New Roman" w:hAnsi="Calibri" w:cs="Calibri"/>
                <w:b/>
                <w:bCs/>
                <w:color w:val="000000"/>
                <w:sz w:val="24"/>
                <w:szCs w:val="24"/>
                <w:lang w:eastAsia="en-GB"/>
              </w:rPr>
              <w:t>Median Hourly Rate</w:t>
            </w:r>
          </w:p>
        </w:tc>
      </w:tr>
      <w:tr w:rsidR="006519D5" w:rsidRPr="006519D5" w:rsidTr="00426A9B">
        <w:trPr>
          <w:trHeight w:val="36"/>
        </w:trPr>
        <w:tc>
          <w:tcPr>
            <w:tcW w:w="1280" w:type="dxa"/>
            <w:tcBorders>
              <w:top w:val="single" w:sz="8" w:space="0" w:color="969696"/>
              <w:left w:val="single" w:sz="8" w:space="0" w:color="969696"/>
              <w:bottom w:val="single" w:sz="8" w:space="0" w:color="969696"/>
              <w:right w:val="nil"/>
            </w:tcBorders>
            <w:shd w:val="clear" w:color="000000" w:fill="9BC2E6"/>
            <w:vAlign w:val="center"/>
            <w:hideMark/>
          </w:tcPr>
          <w:p w:rsidR="006519D5" w:rsidRPr="006519D5" w:rsidRDefault="006519D5" w:rsidP="006519D5">
            <w:pPr>
              <w:spacing w:after="0" w:line="240" w:lineRule="auto"/>
              <w:rPr>
                <w:rFonts w:ascii="Calibri" w:eastAsia="Times New Roman" w:hAnsi="Calibri" w:cs="Calibri"/>
                <w:b/>
                <w:bCs/>
                <w:color w:val="000000"/>
                <w:sz w:val="24"/>
                <w:szCs w:val="24"/>
                <w:lang w:eastAsia="en-GB"/>
              </w:rPr>
            </w:pPr>
            <w:r w:rsidRPr="006519D5">
              <w:rPr>
                <w:rFonts w:ascii="Calibri" w:eastAsia="Times New Roman" w:hAnsi="Calibri" w:cs="Calibri"/>
                <w:b/>
                <w:bCs/>
                <w:color w:val="000000"/>
                <w:sz w:val="24"/>
                <w:szCs w:val="24"/>
                <w:lang w:eastAsia="en-GB"/>
              </w:rPr>
              <w:t>Male</w:t>
            </w:r>
          </w:p>
        </w:tc>
        <w:tc>
          <w:tcPr>
            <w:tcW w:w="2396" w:type="dxa"/>
            <w:tcBorders>
              <w:top w:val="nil"/>
              <w:left w:val="single" w:sz="8" w:space="0" w:color="969696"/>
              <w:bottom w:val="single" w:sz="8" w:space="0" w:color="969696"/>
              <w:right w:val="nil"/>
            </w:tcBorders>
            <w:shd w:val="clear" w:color="000000" w:fill="FFFFFF"/>
            <w:vAlign w:val="center"/>
            <w:hideMark/>
          </w:tcPr>
          <w:p w:rsidR="006519D5" w:rsidRPr="006519D5" w:rsidRDefault="006519D5" w:rsidP="006519D5">
            <w:pPr>
              <w:spacing w:after="0" w:line="240" w:lineRule="auto"/>
              <w:jc w:val="right"/>
              <w:rPr>
                <w:rFonts w:ascii="Calibri" w:eastAsia="Times New Roman" w:hAnsi="Calibri" w:cs="Calibri"/>
                <w:color w:val="000000"/>
                <w:sz w:val="24"/>
                <w:szCs w:val="24"/>
                <w:lang w:eastAsia="en-GB"/>
              </w:rPr>
            </w:pPr>
            <w:r w:rsidRPr="006519D5">
              <w:rPr>
                <w:rFonts w:ascii="Calibri" w:eastAsia="Times New Roman" w:hAnsi="Calibri" w:cs="Calibri"/>
                <w:color w:val="000000"/>
                <w:sz w:val="24"/>
                <w:szCs w:val="24"/>
                <w:lang w:eastAsia="en-GB"/>
              </w:rPr>
              <w:t>£24.36</w:t>
            </w:r>
          </w:p>
        </w:tc>
        <w:tc>
          <w:tcPr>
            <w:tcW w:w="2410" w:type="dxa"/>
            <w:tcBorders>
              <w:top w:val="nil"/>
              <w:left w:val="single" w:sz="8" w:space="0" w:color="969696"/>
              <w:bottom w:val="single" w:sz="8" w:space="0" w:color="969696"/>
              <w:right w:val="single" w:sz="8" w:space="0" w:color="969696"/>
            </w:tcBorders>
            <w:shd w:val="clear" w:color="000000" w:fill="FFFFFF"/>
            <w:vAlign w:val="center"/>
            <w:hideMark/>
          </w:tcPr>
          <w:p w:rsidR="006519D5" w:rsidRPr="006519D5" w:rsidRDefault="006519D5" w:rsidP="006519D5">
            <w:pPr>
              <w:spacing w:after="0" w:line="240" w:lineRule="auto"/>
              <w:jc w:val="right"/>
              <w:rPr>
                <w:rFonts w:ascii="Calibri" w:eastAsia="Times New Roman" w:hAnsi="Calibri" w:cs="Calibri"/>
                <w:color w:val="000000"/>
                <w:sz w:val="24"/>
                <w:szCs w:val="24"/>
                <w:lang w:eastAsia="en-GB"/>
              </w:rPr>
            </w:pPr>
            <w:r w:rsidRPr="006519D5">
              <w:rPr>
                <w:rFonts w:ascii="Calibri" w:eastAsia="Times New Roman" w:hAnsi="Calibri" w:cs="Calibri"/>
                <w:color w:val="000000"/>
                <w:sz w:val="24"/>
                <w:szCs w:val="24"/>
                <w:lang w:eastAsia="en-GB"/>
              </w:rPr>
              <w:t>£19.51</w:t>
            </w:r>
          </w:p>
        </w:tc>
      </w:tr>
      <w:tr w:rsidR="006519D5" w:rsidRPr="006519D5" w:rsidTr="006519D5">
        <w:trPr>
          <w:trHeight w:val="36"/>
        </w:trPr>
        <w:tc>
          <w:tcPr>
            <w:tcW w:w="1280" w:type="dxa"/>
            <w:tcBorders>
              <w:top w:val="nil"/>
              <w:left w:val="single" w:sz="8" w:space="0" w:color="969696"/>
              <w:bottom w:val="single" w:sz="8" w:space="0" w:color="969696"/>
              <w:right w:val="nil"/>
            </w:tcBorders>
            <w:shd w:val="clear" w:color="000000" w:fill="9BC2E6"/>
            <w:vAlign w:val="center"/>
            <w:hideMark/>
          </w:tcPr>
          <w:p w:rsidR="006519D5" w:rsidRPr="006519D5" w:rsidRDefault="006519D5" w:rsidP="006519D5">
            <w:pPr>
              <w:spacing w:after="0" w:line="240" w:lineRule="auto"/>
              <w:rPr>
                <w:rFonts w:ascii="Calibri" w:eastAsia="Times New Roman" w:hAnsi="Calibri" w:cs="Calibri"/>
                <w:b/>
                <w:bCs/>
                <w:color w:val="000000"/>
                <w:sz w:val="24"/>
                <w:szCs w:val="24"/>
                <w:lang w:eastAsia="en-GB"/>
              </w:rPr>
            </w:pPr>
            <w:r w:rsidRPr="006519D5">
              <w:rPr>
                <w:rFonts w:ascii="Calibri" w:eastAsia="Times New Roman" w:hAnsi="Calibri" w:cs="Calibri"/>
                <w:b/>
                <w:bCs/>
                <w:color w:val="000000"/>
                <w:sz w:val="24"/>
                <w:szCs w:val="24"/>
                <w:lang w:eastAsia="en-GB"/>
              </w:rPr>
              <w:t>Female</w:t>
            </w:r>
          </w:p>
        </w:tc>
        <w:tc>
          <w:tcPr>
            <w:tcW w:w="2396" w:type="dxa"/>
            <w:tcBorders>
              <w:top w:val="nil"/>
              <w:left w:val="single" w:sz="8" w:space="0" w:color="969696"/>
              <w:bottom w:val="single" w:sz="8" w:space="0" w:color="969696"/>
              <w:right w:val="nil"/>
            </w:tcBorders>
            <w:shd w:val="clear" w:color="000000" w:fill="FFFFFF"/>
            <w:vAlign w:val="center"/>
            <w:hideMark/>
          </w:tcPr>
          <w:p w:rsidR="006519D5" w:rsidRPr="006519D5" w:rsidRDefault="006519D5" w:rsidP="006519D5">
            <w:pPr>
              <w:spacing w:after="0" w:line="240" w:lineRule="auto"/>
              <w:jc w:val="right"/>
              <w:rPr>
                <w:rFonts w:ascii="Calibri" w:eastAsia="Times New Roman" w:hAnsi="Calibri" w:cs="Calibri"/>
                <w:color w:val="000000"/>
                <w:sz w:val="24"/>
                <w:szCs w:val="24"/>
                <w:lang w:eastAsia="en-GB"/>
              </w:rPr>
            </w:pPr>
            <w:r w:rsidRPr="006519D5">
              <w:rPr>
                <w:rFonts w:ascii="Calibri" w:eastAsia="Times New Roman" w:hAnsi="Calibri" w:cs="Calibri"/>
                <w:color w:val="000000"/>
                <w:sz w:val="24"/>
                <w:szCs w:val="24"/>
                <w:lang w:eastAsia="en-GB"/>
              </w:rPr>
              <w:t>£17.74</w:t>
            </w:r>
          </w:p>
        </w:tc>
        <w:tc>
          <w:tcPr>
            <w:tcW w:w="2410" w:type="dxa"/>
            <w:tcBorders>
              <w:top w:val="nil"/>
              <w:left w:val="single" w:sz="8" w:space="0" w:color="969696"/>
              <w:bottom w:val="single" w:sz="8" w:space="0" w:color="969696"/>
              <w:right w:val="single" w:sz="8" w:space="0" w:color="969696"/>
            </w:tcBorders>
            <w:shd w:val="clear" w:color="000000" w:fill="FFFFFF"/>
            <w:vAlign w:val="center"/>
            <w:hideMark/>
          </w:tcPr>
          <w:p w:rsidR="006519D5" w:rsidRPr="006519D5" w:rsidRDefault="006519D5" w:rsidP="006519D5">
            <w:pPr>
              <w:spacing w:after="0" w:line="240" w:lineRule="auto"/>
              <w:jc w:val="right"/>
              <w:rPr>
                <w:rFonts w:ascii="Calibri" w:eastAsia="Times New Roman" w:hAnsi="Calibri" w:cs="Calibri"/>
                <w:color w:val="000000"/>
                <w:sz w:val="24"/>
                <w:szCs w:val="24"/>
                <w:lang w:eastAsia="en-GB"/>
              </w:rPr>
            </w:pPr>
            <w:r w:rsidRPr="006519D5">
              <w:rPr>
                <w:rFonts w:ascii="Calibri" w:eastAsia="Times New Roman" w:hAnsi="Calibri" w:cs="Calibri"/>
                <w:color w:val="000000"/>
                <w:sz w:val="24"/>
                <w:szCs w:val="24"/>
                <w:lang w:eastAsia="en-GB"/>
              </w:rPr>
              <w:t>£15.89</w:t>
            </w:r>
          </w:p>
        </w:tc>
      </w:tr>
      <w:tr w:rsidR="006519D5" w:rsidRPr="006519D5" w:rsidTr="006519D5">
        <w:trPr>
          <w:trHeight w:val="36"/>
        </w:trPr>
        <w:tc>
          <w:tcPr>
            <w:tcW w:w="1280" w:type="dxa"/>
            <w:tcBorders>
              <w:top w:val="nil"/>
              <w:left w:val="single" w:sz="8" w:space="0" w:color="969696"/>
              <w:bottom w:val="single" w:sz="8" w:space="0" w:color="969696"/>
              <w:right w:val="nil"/>
            </w:tcBorders>
            <w:shd w:val="clear" w:color="000000" w:fill="9BC2E6"/>
            <w:vAlign w:val="center"/>
            <w:hideMark/>
          </w:tcPr>
          <w:p w:rsidR="006519D5" w:rsidRPr="006519D5" w:rsidRDefault="006519D5" w:rsidP="006519D5">
            <w:pPr>
              <w:spacing w:after="0" w:line="240" w:lineRule="auto"/>
              <w:rPr>
                <w:rFonts w:ascii="Calibri" w:eastAsia="Times New Roman" w:hAnsi="Calibri" w:cs="Calibri"/>
                <w:b/>
                <w:bCs/>
                <w:color w:val="000000"/>
                <w:sz w:val="24"/>
                <w:szCs w:val="24"/>
                <w:lang w:eastAsia="en-GB"/>
              </w:rPr>
            </w:pPr>
            <w:r w:rsidRPr="006519D5">
              <w:rPr>
                <w:rFonts w:ascii="Calibri" w:eastAsia="Times New Roman" w:hAnsi="Calibri" w:cs="Calibri"/>
                <w:b/>
                <w:bCs/>
                <w:color w:val="000000"/>
                <w:sz w:val="24"/>
                <w:szCs w:val="24"/>
                <w:lang w:eastAsia="en-GB"/>
              </w:rPr>
              <w:t>Difference</w:t>
            </w:r>
          </w:p>
        </w:tc>
        <w:tc>
          <w:tcPr>
            <w:tcW w:w="2396" w:type="dxa"/>
            <w:tcBorders>
              <w:top w:val="nil"/>
              <w:left w:val="single" w:sz="8" w:space="0" w:color="969696"/>
              <w:bottom w:val="single" w:sz="8" w:space="0" w:color="969696"/>
              <w:right w:val="nil"/>
            </w:tcBorders>
            <w:shd w:val="clear" w:color="000000" w:fill="FFFFFF"/>
            <w:vAlign w:val="center"/>
            <w:hideMark/>
          </w:tcPr>
          <w:p w:rsidR="006519D5" w:rsidRPr="006519D5" w:rsidRDefault="006519D5" w:rsidP="006519D5">
            <w:pPr>
              <w:spacing w:after="0" w:line="240" w:lineRule="auto"/>
              <w:jc w:val="right"/>
              <w:rPr>
                <w:rFonts w:ascii="Calibri" w:eastAsia="Times New Roman" w:hAnsi="Calibri" w:cs="Calibri"/>
                <w:color w:val="000000"/>
                <w:sz w:val="24"/>
                <w:szCs w:val="24"/>
                <w:lang w:eastAsia="en-GB"/>
              </w:rPr>
            </w:pPr>
            <w:r w:rsidRPr="006519D5">
              <w:rPr>
                <w:rFonts w:ascii="Calibri" w:eastAsia="Times New Roman" w:hAnsi="Calibri" w:cs="Calibri"/>
                <w:color w:val="000000"/>
                <w:sz w:val="24"/>
                <w:szCs w:val="24"/>
                <w:lang w:eastAsia="en-GB"/>
              </w:rPr>
              <w:t>£6.62</w:t>
            </w:r>
          </w:p>
        </w:tc>
        <w:tc>
          <w:tcPr>
            <w:tcW w:w="2410" w:type="dxa"/>
            <w:tcBorders>
              <w:top w:val="nil"/>
              <w:left w:val="single" w:sz="8" w:space="0" w:color="969696"/>
              <w:bottom w:val="single" w:sz="8" w:space="0" w:color="969696"/>
              <w:right w:val="single" w:sz="8" w:space="0" w:color="969696"/>
            </w:tcBorders>
            <w:shd w:val="clear" w:color="000000" w:fill="FFFFFF"/>
            <w:vAlign w:val="center"/>
            <w:hideMark/>
          </w:tcPr>
          <w:p w:rsidR="006519D5" w:rsidRPr="006519D5" w:rsidRDefault="006519D5" w:rsidP="006519D5">
            <w:pPr>
              <w:spacing w:after="0" w:line="240" w:lineRule="auto"/>
              <w:jc w:val="right"/>
              <w:rPr>
                <w:rFonts w:ascii="Calibri" w:eastAsia="Times New Roman" w:hAnsi="Calibri" w:cs="Calibri"/>
                <w:color w:val="000000"/>
                <w:sz w:val="24"/>
                <w:szCs w:val="24"/>
                <w:lang w:eastAsia="en-GB"/>
              </w:rPr>
            </w:pPr>
            <w:r w:rsidRPr="006519D5">
              <w:rPr>
                <w:rFonts w:ascii="Calibri" w:eastAsia="Times New Roman" w:hAnsi="Calibri" w:cs="Calibri"/>
                <w:color w:val="000000"/>
                <w:sz w:val="24"/>
                <w:szCs w:val="24"/>
                <w:lang w:eastAsia="en-GB"/>
              </w:rPr>
              <w:t>£3.62</w:t>
            </w:r>
          </w:p>
        </w:tc>
      </w:tr>
      <w:tr w:rsidR="006519D5" w:rsidRPr="006519D5" w:rsidTr="006519D5">
        <w:trPr>
          <w:trHeight w:val="36"/>
        </w:trPr>
        <w:tc>
          <w:tcPr>
            <w:tcW w:w="1280" w:type="dxa"/>
            <w:tcBorders>
              <w:top w:val="nil"/>
              <w:left w:val="single" w:sz="8" w:space="0" w:color="969696"/>
              <w:bottom w:val="single" w:sz="8" w:space="0" w:color="969696"/>
              <w:right w:val="nil"/>
            </w:tcBorders>
            <w:shd w:val="clear" w:color="000000" w:fill="9BC2E6"/>
            <w:vAlign w:val="center"/>
            <w:hideMark/>
          </w:tcPr>
          <w:p w:rsidR="006519D5" w:rsidRPr="006519D5" w:rsidRDefault="006519D5" w:rsidP="006519D5">
            <w:pPr>
              <w:spacing w:after="0" w:line="240" w:lineRule="auto"/>
              <w:rPr>
                <w:rFonts w:ascii="Calibri" w:eastAsia="Times New Roman" w:hAnsi="Calibri" w:cs="Calibri"/>
                <w:b/>
                <w:bCs/>
                <w:color w:val="000000"/>
                <w:sz w:val="24"/>
                <w:szCs w:val="24"/>
                <w:lang w:eastAsia="en-GB"/>
              </w:rPr>
            </w:pPr>
            <w:r w:rsidRPr="006519D5">
              <w:rPr>
                <w:rFonts w:ascii="Calibri" w:eastAsia="Times New Roman" w:hAnsi="Calibri" w:cs="Calibri"/>
                <w:b/>
                <w:bCs/>
                <w:color w:val="000000"/>
                <w:sz w:val="24"/>
                <w:szCs w:val="24"/>
                <w:lang w:eastAsia="en-GB"/>
              </w:rPr>
              <w:t>Pay Gap %</w:t>
            </w:r>
          </w:p>
        </w:tc>
        <w:tc>
          <w:tcPr>
            <w:tcW w:w="2396" w:type="dxa"/>
            <w:tcBorders>
              <w:top w:val="nil"/>
              <w:left w:val="single" w:sz="8" w:space="0" w:color="969696"/>
              <w:bottom w:val="single" w:sz="8" w:space="0" w:color="969696"/>
              <w:right w:val="nil"/>
            </w:tcBorders>
            <w:shd w:val="clear" w:color="000000" w:fill="FFFFFF"/>
            <w:vAlign w:val="center"/>
            <w:hideMark/>
          </w:tcPr>
          <w:p w:rsidR="006519D5" w:rsidRPr="006519D5" w:rsidRDefault="006519D5" w:rsidP="006519D5">
            <w:pPr>
              <w:spacing w:after="0" w:line="240" w:lineRule="auto"/>
              <w:jc w:val="right"/>
              <w:rPr>
                <w:rFonts w:ascii="Calibri" w:eastAsia="Times New Roman" w:hAnsi="Calibri" w:cs="Calibri"/>
                <w:color w:val="000000"/>
                <w:sz w:val="24"/>
                <w:szCs w:val="24"/>
                <w:lang w:eastAsia="en-GB"/>
              </w:rPr>
            </w:pPr>
            <w:r w:rsidRPr="006519D5">
              <w:rPr>
                <w:rFonts w:ascii="Calibri" w:eastAsia="Times New Roman" w:hAnsi="Calibri" w:cs="Calibri"/>
                <w:color w:val="000000"/>
                <w:sz w:val="24"/>
                <w:szCs w:val="24"/>
                <w:lang w:eastAsia="en-GB"/>
              </w:rPr>
              <w:t>27.2%</w:t>
            </w:r>
          </w:p>
        </w:tc>
        <w:tc>
          <w:tcPr>
            <w:tcW w:w="2410" w:type="dxa"/>
            <w:tcBorders>
              <w:top w:val="nil"/>
              <w:left w:val="single" w:sz="8" w:space="0" w:color="969696"/>
              <w:bottom w:val="single" w:sz="8" w:space="0" w:color="969696"/>
              <w:right w:val="single" w:sz="8" w:space="0" w:color="969696"/>
            </w:tcBorders>
            <w:shd w:val="clear" w:color="000000" w:fill="FFFFFF"/>
            <w:vAlign w:val="center"/>
            <w:hideMark/>
          </w:tcPr>
          <w:p w:rsidR="006519D5" w:rsidRPr="006519D5" w:rsidRDefault="006519D5" w:rsidP="006519D5">
            <w:pPr>
              <w:spacing w:after="0" w:line="240" w:lineRule="auto"/>
              <w:jc w:val="right"/>
              <w:rPr>
                <w:rFonts w:ascii="Calibri" w:eastAsia="Times New Roman" w:hAnsi="Calibri" w:cs="Calibri"/>
                <w:color w:val="000000"/>
                <w:sz w:val="24"/>
                <w:szCs w:val="24"/>
                <w:lang w:eastAsia="en-GB"/>
              </w:rPr>
            </w:pPr>
            <w:r w:rsidRPr="006519D5">
              <w:rPr>
                <w:rFonts w:ascii="Calibri" w:eastAsia="Times New Roman" w:hAnsi="Calibri" w:cs="Calibri"/>
                <w:color w:val="000000"/>
                <w:sz w:val="24"/>
                <w:szCs w:val="24"/>
                <w:lang w:eastAsia="en-GB"/>
              </w:rPr>
              <w:t>18.5%</w:t>
            </w:r>
          </w:p>
        </w:tc>
      </w:tr>
    </w:tbl>
    <w:p w:rsidR="00E47A76" w:rsidRDefault="00E47A76" w:rsidP="00EE065B">
      <w:pPr>
        <w:spacing w:after="0"/>
        <w:rPr>
          <w:rFonts w:ascii="Calibri" w:hAnsi="Calibri" w:cs="Calibri"/>
          <w:color w:val="1F497D"/>
        </w:rPr>
      </w:pPr>
    </w:p>
    <w:p w:rsidR="006519D5" w:rsidRPr="006519D5" w:rsidRDefault="006519D5" w:rsidP="006519D5">
      <w:pPr>
        <w:spacing w:after="0"/>
        <w:jc w:val="center"/>
        <w:rPr>
          <w:rFonts w:ascii="Arial" w:hAnsi="Arial" w:cs="Arial"/>
          <w:i/>
          <w:color w:val="1F497D"/>
        </w:rPr>
      </w:pPr>
      <w:r w:rsidRPr="006519D5">
        <w:rPr>
          <w:rFonts w:ascii="Arial" w:hAnsi="Arial" w:cs="Arial"/>
          <w:i/>
        </w:rPr>
        <w:t>(Last year’s results were Average 28.46% and Mean 20.72%)</w:t>
      </w:r>
    </w:p>
    <w:p w:rsidR="003E0C40" w:rsidRDefault="003E0C40" w:rsidP="00B12C62">
      <w:pPr>
        <w:spacing w:after="0"/>
        <w:jc w:val="center"/>
        <w:rPr>
          <w:rFonts w:ascii="Arial" w:hAnsi="Arial" w:cs="Arial"/>
          <w:b/>
        </w:rPr>
      </w:pPr>
    </w:p>
    <w:p w:rsidR="009A403E" w:rsidRPr="00B12C62" w:rsidRDefault="00855380" w:rsidP="00B12C62">
      <w:pPr>
        <w:spacing w:after="0"/>
        <w:jc w:val="center"/>
        <w:rPr>
          <w:rFonts w:ascii="Arial" w:hAnsi="Arial" w:cs="Arial"/>
          <w:b/>
        </w:rPr>
      </w:pPr>
      <w:r w:rsidRPr="00B12C62">
        <w:rPr>
          <w:rFonts w:ascii="Arial" w:hAnsi="Arial" w:cs="Arial"/>
          <w:b/>
        </w:rPr>
        <w:t xml:space="preserve">PAY QUARTILES LOW TO HIGH (1-4) BY MALE </w:t>
      </w:r>
      <w:r w:rsidR="00EE065B" w:rsidRPr="00B12C62">
        <w:rPr>
          <w:rFonts w:ascii="Arial" w:hAnsi="Arial" w:cs="Arial"/>
          <w:b/>
        </w:rPr>
        <w:t xml:space="preserve">/ </w:t>
      </w:r>
      <w:r w:rsidRPr="00B12C62">
        <w:rPr>
          <w:rFonts w:ascii="Arial" w:hAnsi="Arial" w:cs="Arial"/>
          <w:b/>
        </w:rPr>
        <w:t>FEMALE</w:t>
      </w:r>
    </w:p>
    <w:p w:rsidR="00855380" w:rsidRDefault="00855380" w:rsidP="00EE065B">
      <w:pPr>
        <w:spacing w:after="0"/>
        <w:rPr>
          <w:rFonts w:ascii="Arial" w:hAnsi="Arial" w:cs="Arial"/>
          <w:b/>
          <w:sz w:val="20"/>
          <w:szCs w:val="20"/>
        </w:rPr>
      </w:pPr>
      <w:r w:rsidRPr="00855380">
        <w:rPr>
          <w:rFonts w:ascii="Arial" w:hAnsi="Arial" w:cs="Arial"/>
          <w:b/>
          <w:sz w:val="20"/>
          <w:szCs w:val="20"/>
        </w:rPr>
        <w:t xml:space="preserve"> </w:t>
      </w:r>
    </w:p>
    <w:tbl>
      <w:tblPr>
        <w:tblW w:w="5708" w:type="dxa"/>
        <w:tblInd w:w="1946" w:type="dxa"/>
        <w:tblLook w:val="04A0" w:firstRow="1" w:lastRow="0" w:firstColumn="1" w:lastColumn="0" w:noHBand="0" w:noVBand="1"/>
      </w:tblPr>
      <w:tblGrid>
        <w:gridCol w:w="1280"/>
        <w:gridCol w:w="1160"/>
        <w:gridCol w:w="1040"/>
        <w:gridCol w:w="1188"/>
        <w:gridCol w:w="1040"/>
      </w:tblGrid>
      <w:tr w:rsidR="006519D5" w:rsidRPr="006519D5" w:rsidTr="006519D5">
        <w:trPr>
          <w:trHeight w:val="352"/>
        </w:trPr>
        <w:tc>
          <w:tcPr>
            <w:tcW w:w="1280" w:type="dxa"/>
            <w:tcBorders>
              <w:top w:val="single" w:sz="8" w:space="0" w:color="969696"/>
              <w:left w:val="single" w:sz="8" w:space="0" w:color="969696"/>
              <w:bottom w:val="nil"/>
              <w:right w:val="nil"/>
            </w:tcBorders>
            <w:shd w:val="clear" w:color="000000" w:fill="9BC2E6"/>
            <w:vAlign w:val="center"/>
            <w:hideMark/>
          </w:tcPr>
          <w:p w:rsidR="006519D5" w:rsidRPr="006519D5" w:rsidRDefault="006519D5" w:rsidP="006519D5">
            <w:pPr>
              <w:spacing w:after="0" w:line="240" w:lineRule="auto"/>
              <w:rPr>
                <w:rFonts w:ascii="Calibri" w:eastAsia="Times New Roman" w:hAnsi="Calibri" w:cs="Calibri"/>
                <w:b/>
                <w:bCs/>
                <w:color w:val="000000"/>
                <w:sz w:val="24"/>
                <w:szCs w:val="24"/>
                <w:lang w:eastAsia="en-GB"/>
              </w:rPr>
            </w:pPr>
            <w:r w:rsidRPr="006519D5">
              <w:rPr>
                <w:rFonts w:ascii="Calibri" w:eastAsia="Times New Roman" w:hAnsi="Calibri" w:cs="Calibri"/>
                <w:b/>
                <w:bCs/>
                <w:color w:val="000000"/>
                <w:sz w:val="24"/>
                <w:szCs w:val="24"/>
                <w:lang w:eastAsia="en-GB"/>
              </w:rPr>
              <w:t>Quartile</w:t>
            </w:r>
          </w:p>
        </w:tc>
        <w:tc>
          <w:tcPr>
            <w:tcW w:w="1160" w:type="dxa"/>
            <w:tcBorders>
              <w:top w:val="single" w:sz="8" w:space="0" w:color="969696"/>
              <w:left w:val="single" w:sz="8" w:space="0" w:color="969696"/>
              <w:bottom w:val="single" w:sz="8" w:space="0" w:color="969696"/>
              <w:right w:val="nil"/>
            </w:tcBorders>
            <w:shd w:val="clear" w:color="000000" w:fill="9BC2E6"/>
            <w:vAlign w:val="center"/>
            <w:hideMark/>
          </w:tcPr>
          <w:p w:rsidR="006519D5" w:rsidRPr="006519D5" w:rsidRDefault="006519D5" w:rsidP="006519D5">
            <w:pPr>
              <w:spacing w:after="0" w:line="240" w:lineRule="auto"/>
              <w:jc w:val="center"/>
              <w:rPr>
                <w:rFonts w:ascii="Calibri" w:eastAsia="Times New Roman" w:hAnsi="Calibri" w:cs="Calibri"/>
                <w:b/>
                <w:bCs/>
                <w:color w:val="000000"/>
                <w:sz w:val="24"/>
                <w:szCs w:val="24"/>
                <w:lang w:eastAsia="en-GB"/>
              </w:rPr>
            </w:pPr>
            <w:r w:rsidRPr="006519D5">
              <w:rPr>
                <w:rFonts w:ascii="Calibri" w:eastAsia="Times New Roman" w:hAnsi="Calibri" w:cs="Calibri"/>
                <w:b/>
                <w:bCs/>
                <w:color w:val="000000"/>
                <w:sz w:val="24"/>
                <w:szCs w:val="24"/>
                <w:lang w:eastAsia="en-GB"/>
              </w:rPr>
              <w:t>Female</w:t>
            </w:r>
          </w:p>
        </w:tc>
        <w:tc>
          <w:tcPr>
            <w:tcW w:w="1040" w:type="dxa"/>
            <w:tcBorders>
              <w:top w:val="single" w:sz="8" w:space="0" w:color="969696"/>
              <w:left w:val="single" w:sz="8" w:space="0" w:color="969696"/>
              <w:bottom w:val="single" w:sz="8" w:space="0" w:color="969696"/>
              <w:right w:val="nil"/>
            </w:tcBorders>
            <w:shd w:val="clear" w:color="000000" w:fill="9BC2E6"/>
            <w:vAlign w:val="center"/>
            <w:hideMark/>
          </w:tcPr>
          <w:p w:rsidR="006519D5" w:rsidRPr="006519D5" w:rsidRDefault="006519D5" w:rsidP="006519D5">
            <w:pPr>
              <w:spacing w:after="0" w:line="240" w:lineRule="auto"/>
              <w:jc w:val="center"/>
              <w:rPr>
                <w:rFonts w:ascii="Calibri" w:eastAsia="Times New Roman" w:hAnsi="Calibri" w:cs="Calibri"/>
                <w:b/>
                <w:bCs/>
                <w:color w:val="000000"/>
                <w:sz w:val="24"/>
                <w:szCs w:val="24"/>
                <w:lang w:eastAsia="en-GB"/>
              </w:rPr>
            </w:pPr>
            <w:r w:rsidRPr="006519D5">
              <w:rPr>
                <w:rFonts w:ascii="Calibri" w:eastAsia="Times New Roman" w:hAnsi="Calibri" w:cs="Calibri"/>
                <w:b/>
                <w:bCs/>
                <w:color w:val="000000"/>
                <w:sz w:val="24"/>
                <w:szCs w:val="24"/>
                <w:lang w:eastAsia="en-GB"/>
              </w:rPr>
              <w:t>Male</w:t>
            </w:r>
          </w:p>
        </w:tc>
        <w:tc>
          <w:tcPr>
            <w:tcW w:w="1188" w:type="dxa"/>
            <w:tcBorders>
              <w:top w:val="single" w:sz="8" w:space="0" w:color="969696"/>
              <w:left w:val="single" w:sz="8" w:space="0" w:color="969696"/>
              <w:bottom w:val="single" w:sz="8" w:space="0" w:color="969696"/>
              <w:right w:val="nil"/>
            </w:tcBorders>
            <w:shd w:val="clear" w:color="000000" w:fill="9BC2E6"/>
            <w:vAlign w:val="center"/>
            <w:hideMark/>
          </w:tcPr>
          <w:p w:rsidR="006519D5" w:rsidRPr="006519D5" w:rsidRDefault="006519D5" w:rsidP="006519D5">
            <w:pPr>
              <w:spacing w:after="0" w:line="240" w:lineRule="auto"/>
              <w:jc w:val="center"/>
              <w:rPr>
                <w:rFonts w:ascii="Calibri" w:eastAsia="Times New Roman" w:hAnsi="Calibri" w:cs="Calibri"/>
                <w:b/>
                <w:bCs/>
                <w:color w:val="000000"/>
                <w:sz w:val="24"/>
                <w:szCs w:val="24"/>
                <w:lang w:eastAsia="en-GB"/>
              </w:rPr>
            </w:pPr>
            <w:r w:rsidRPr="006519D5">
              <w:rPr>
                <w:rFonts w:ascii="Calibri" w:eastAsia="Times New Roman" w:hAnsi="Calibri" w:cs="Calibri"/>
                <w:b/>
                <w:bCs/>
                <w:color w:val="000000"/>
                <w:sz w:val="24"/>
                <w:szCs w:val="24"/>
                <w:lang w:eastAsia="en-GB"/>
              </w:rPr>
              <w:t>Female %</w:t>
            </w:r>
          </w:p>
        </w:tc>
        <w:tc>
          <w:tcPr>
            <w:tcW w:w="1040" w:type="dxa"/>
            <w:tcBorders>
              <w:top w:val="single" w:sz="8" w:space="0" w:color="969696"/>
              <w:left w:val="single" w:sz="8" w:space="0" w:color="969696"/>
              <w:bottom w:val="single" w:sz="8" w:space="0" w:color="969696"/>
              <w:right w:val="single" w:sz="8" w:space="0" w:color="969696"/>
            </w:tcBorders>
            <w:shd w:val="clear" w:color="000000" w:fill="9BC2E6"/>
            <w:vAlign w:val="center"/>
            <w:hideMark/>
          </w:tcPr>
          <w:p w:rsidR="006519D5" w:rsidRPr="006519D5" w:rsidRDefault="006519D5" w:rsidP="006519D5">
            <w:pPr>
              <w:spacing w:after="0" w:line="240" w:lineRule="auto"/>
              <w:jc w:val="center"/>
              <w:rPr>
                <w:rFonts w:ascii="Calibri" w:eastAsia="Times New Roman" w:hAnsi="Calibri" w:cs="Calibri"/>
                <w:b/>
                <w:bCs/>
                <w:color w:val="000000"/>
                <w:sz w:val="24"/>
                <w:szCs w:val="24"/>
                <w:lang w:eastAsia="en-GB"/>
              </w:rPr>
            </w:pPr>
            <w:r w:rsidRPr="006519D5">
              <w:rPr>
                <w:rFonts w:ascii="Calibri" w:eastAsia="Times New Roman" w:hAnsi="Calibri" w:cs="Calibri"/>
                <w:b/>
                <w:bCs/>
                <w:color w:val="000000"/>
                <w:sz w:val="24"/>
                <w:szCs w:val="24"/>
                <w:lang w:eastAsia="en-GB"/>
              </w:rPr>
              <w:t>Male %</w:t>
            </w:r>
          </w:p>
        </w:tc>
      </w:tr>
      <w:tr w:rsidR="006519D5" w:rsidRPr="006519D5" w:rsidTr="006519D5">
        <w:trPr>
          <w:trHeight w:val="352"/>
        </w:trPr>
        <w:tc>
          <w:tcPr>
            <w:tcW w:w="1280" w:type="dxa"/>
            <w:tcBorders>
              <w:top w:val="single" w:sz="8" w:space="0" w:color="969696"/>
              <w:left w:val="single" w:sz="8" w:space="0" w:color="969696"/>
              <w:bottom w:val="nil"/>
              <w:right w:val="nil"/>
            </w:tcBorders>
            <w:shd w:val="clear" w:color="000000" w:fill="9BC2E6"/>
            <w:vAlign w:val="center"/>
            <w:hideMark/>
          </w:tcPr>
          <w:p w:rsidR="006519D5" w:rsidRPr="006519D5" w:rsidRDefault="006519D5" w:rsidP="006519D5">
            <w:pPr>
              <w:spacing w:after="0" w:line="240" w:lineRule="auto"/>
              <w:rPr>
                <w:rFonts w:ascii="Calibri" w:eastAsia="Times New Roman" w:hAnsi="Calibri" w:cs="Calibri"/>
                <w:b/>
                <w:bCs/>
                <w:color w:val="000000"/>
                <w:sz w:val="24"/>
                <w:szCs w:val="24"/>
                <w:lang w:eastAsia="en-GB"/>
              </w:rPr>
            </w:pPr>
            <w:r w:rsidRPr="006519D5">
              <w:rPr>
                <w:rFonts w:ascii="Calibri" w:eastAsia="Times New Roman" w:hAnsi="Calibri" w:cs="Calibri"/>
                <w:b/>
                <w:bCs/>
                <w:color w:val="000000"/>
                <w:sz w:val="24"/>
                <w:szCs w:val="24"/>
                <w:lang w:eastAsia="en-GB"/>
              </w:rPr>
              <w:t>1</w:t>
            </w:r>
          </w:p>
        </w:tc>
        <w:tc>
          <w:tcPr>
            <w:tcW w:w="1160" w:type="dxa"/>
            <w:tcBorders>
              <w:top w:val="single" w:sz="8" w:space="0" w:color="969696"/>
              <w:left w:val="single" w:sz="8" w:space="0" w:color="969696"/>
              <w:bottom w:val="single" w:sz="8" w:space="0" w:color="969696"/>
              <w:right w:val="nil"/>
            </w:tcBorders>
            <w:shd w:val="clear" w:color="000000" w:fill="auto"/>
            <w:vAlign w:val="center"/>
            <w:hideMark/>
          </w:tcPr>
          <w:p w:rsidR="006519D5" w:rsidRPr="006519D5" w:rsidRDefault="006519D5" w:rsidP="006519D5">
            <w:pPr>
              <w:spacing w:after="0" w:line="240" w:lineRule="auto"/>
              <w:jc w:val="center"/>
              <w:rPr>
                <w:rFonts w:ascii="Calibri" w:eastAsia="Times New Roman" w:hAnsi="Calibri" w:cs="Calibri"/>
                <w:bCs/>
                <w:color w:val="000000"/>
                <w:sz w:val="24"/>
                <w:szCs w:val="24"/>
                <w:lang w:eastAsia="en-GB"/>
              </w:rPr>
            </w:pPr>
            <w:r w:rsidRPr="006519D5">
              <w:rPr>
                <w:rFonts w:ascii="Calibri" w:eastAsia="Times New Roman" w:hAnsi="Calibri" w:cs="Calibri"/>
                <w:bCs/>
                <w:color w:val="000000"/>
                <w:sz w:val="24"/>
                <w:szCs w:val="24"/>
                <w:lang w:eastAsia="en-GB"/>
              </w:rPr>
              <w:t>1750</w:t>
            </w:r>
          </w:p>
        </w:tc>
        <w:tc>
          <w:tcPr>
            <w:tcW w:w="1040" w:type="dxa"/>
            <w:tcBorders>
              <w:top w:val="single" w:sz="8" w:space="0" w:color="969696"/>
              <w:left w:val="single" w:sz="8" w:space="0" w:color="969696"/>
              <w:bottom w:val="single" w:sz="8" w:space="0" w:color="969696"/>
              <w:right w:val="nil"/>
            </w:tcBorders>
            <w:shd w:val="clear" w:color="000000" w:fill="auto"/>
            <w:vAlign w:val="center"/>
            <w:hideMark/>
          </w:tcPr>
          <w:p w:rsidR="006519D5" w:rsidRPr="006519D5" w:rsidRDefault="006519D5" w:rsidP="006519D5">
            <w:pPr>
              <w:spacing w:after="0" w:line="240" w:lineRule="auto"/>
              <w:jc w:val="center"/>
              <w:rPr>
                <w:rFonts w:ascii="Calibri" w:eastAsia="Times New Roman" w:hAnsi="Calibri" w:cs="Calibri"/>
                <w:bCs/>
                <w:color w:val="000000"/>
                <w:sz w:val="24"/>
                <w:szCs w:val="24"/>
                <w:lang w:eastAsia="en-GB"/>
              </w:rPr>
            </w:pPr>
            <w:r w:rsidRPr="006519D5">
              <w:rPr>
                <w:rFonts w:ascii="Calibri" w:eastAsia="Times New Roman" w:hAnsi="Calibri" w:cs="Calibri"/>
                <w:bCs/>
                <w:color w:val="000000"/>
                <w:sz w:val="24"/>
                <w:szCs w:val="24"/>
                <w:lang w:eastAsia="en-GB"/>
              </w:rPr>
              <w:t>344</w:t>
            </w:r>
          </w:p>
        </w:tc>
        <w:tc>
          <w:tcPr>
            <w:tcW w:w="1188" w:type="dxa"/>
            <w:tcBorders>
              <w:top w:val="single" w:sz="8" w:space="0" w:color="969696"/>
              <w:left w:val="single" w:sz="8" w:space="0" w:color="969696"/>
              <w:bottom w:val="single" w:sz="8" w:space="0" w:color="969696"/>
              <w:right w:val="nil"/>
            </w:tcBorders>
            <w:shd w:val="clear" w:color="000000" w:fill="auto"/>
            <w:vAlign w:val="center"/>
            <w:hideMark/>
          </w:tcPr>
          <w:p w:rsidR="006519D5" w:rsidRPr="006519D5" w:rsidRDefault="006519D5" w:rsidP="006519D5">
            <w:pPr>
              <w:spacing w:after="0" w:line="240" w:lineRule="auto"/>
              <w:jc w:val="center"/>
              <w:rPr>
                <w:rFonts w:ascii="Calibri" w:eastAsia="Times New Roman" w:hAnsi="Calibri" w:cs="Calibri"/>
                <w:bCs/>
                <w:color w:val="000000"/>
                <w:sz w:val="24"/>
                <w:szCs w:val="24"/>
                <w:lang w:eastAsia="en-GB"/>
              </w:rPr>
            </w:pPr>
            <w:r w:rsidRPr="006519D5">
              <w:rPr>
                <w:rFonts w:ascii="Calibri" w:eastAsia="Times New Roman" w:hAnsi="Calibri" w:cs="Calibri"/>
                <w:bCs/>
                <w:color w:val="000000"/>
                <w:sz w:val="24"/>
                <w:szCs w:val="24"/>
                <w:lang w:eastAsia="en-GB"/>
              </w:rPr>
              <w:t>83.6%</w:t>
            </w:r>
          </w:p>
        </w:tc>
        <w:tc>
          <w:tcPr>
            <w:tcW w:w="1040" w:type="dxa"/>
            <w:tcBorders>
              <w:top w:val="single" w:sz="8" w:space="0" w:color="969696"/>
              <w:left w:val="single" w:sz="8" w:space="0" w:color="969696"/>
              <w:bottom w:val="single" w:sz="8" w:space="0" w:color="969696"/>
              <w:right w:val="single" w:sz="8" w:space="0" w:color="969696"/>
            </w:tcBorders>
            <w:shd w:val="clear" w:color="000000" w:fill="auto"/>
            <w:vAlign w:val="center"/>
            <w:hideMark/>
          </w:tcPr>
          <w:p w:rsidR="006519D5" w:rsidRPr="006519D5" w:rsidRDefault="006519D5" w:rsidP="006519D5">
            <w:pPr>
              <w:spacing w:after="0" w:line="240" w:lineRule="auto"/>
              <w:jc w:val="center"/>
              <w:rPr>
                <w:rFonts w:ascii="Calibri" w:eastAsia="Times New Roman" w:hAnsi="Calibri" w:cs="Calibri"/>
                <w:bCs/>
                <w:color w:val="000000"/>
                <w:sz w:val="24"/>
                <w:szCs w:val="24"/>
                <w:lang w:eastAsia="en-GB"/>
              </w:rPr>
            </w:pPr>
            <w:r w:rsidRPr="006519D5">
              <w:rPr>
                <w:rFonts w:ascii="Calibri" w:eastAsia="Times New Roman" w:hAnsi="Calibri" w:cs="Calibri"/>
                <w:bCs/>
                <w:color w:val="000000"/>
                <w:sz w:val="24"/>
                <w:szCs w:val="24"/>
                <w:lang w:eastAsia="en-GB"/>
              </w:rPr>
              <w:t>16.4%</w:t>
            </w:r>
          </w:p>
        </w:tc>
      </w:tr>
      <w:tr w:rsidR="006519D5" w:rsidRPr="006519D5" w:rsidTr="006519D5">
        <w:trPr>
          <w:trHeight w:val="352"/>
        </w:trPr>
        <w:tc>
          <w:tcPr>
            <w:tcW w:w="1280" w:type="dxa"/>
            <w:tcBorders>
              <w:top w:val="single" w:sz="8" w:space="0" w:color="969696"/>
              <w:left w:val="single" w:sz="8" w:space="0" w:color="969696"/>
              <w:bottom w:val="nil"/>
              <w:right w:val="nil"/>
            </w:tcBorders>
            <w:shd w:val="clear" w:color="000000" w:fill="9BC2E6"/>
            <w:vAlign w:val="center"/>
            <w:hideMark/>
          </w:tcPr>
          <w:p w:rsidR="006519D5" w:rsidRPr="006519D5" w:rsidRDefault="006519D5" w:rsidP="006519D5">
            <w:pPr>
              <w:spacing w:after="0" w:line="240" w:lineRule="auto"/>
              <w:rPr>
                <w:rFonts w:ascii="Calibri" w:eastAsia="Times New Roman" w:hAnsi="Calibri" w:cs="Calibri"/>
                <w:b/>
                <w:bCs/>
                <w:color w:val="000000"/>
                <w:sz w:val="24"/>
                <w:szCs w:val="24"/>
                <w:lang w:eastAsia="en-GB"/>
              </w:rPr>
            </w:pPr>
            <w:r w:rsidRPr="006519D5">
              <w:rPr>
                <w:rFonts w:ascii="Calibri" w:eastAsia="Times New Roman" w:hAnsi="Calibri" w:cs="Calibri"/>
                <w:b/>
                <w:bCs/>
                <w:color w:val="000000"/>
                <w:sz w:val="24"/>
                <w:szCs w:val="24"/>
                <w:lang w:eastAsia="en-GB"/>
              </w:rPr>
              <w:t>2</w:t>
            </w:r>
          </w:p>
        </w:tc>
        <w:tc>
          <w:tcPr>
            <w:tcW w:w="1160" w:type="dxa"/>
            <w:tcBorders>
              <w:top w:val="single" w:sz="8" w:space="0" w:color="969696"/>
              <w:left w:val="single" w:sz="8" w:space="0" w:color="969696"/>
              <w:bottom w:val="single" w:sz="8" w:space="0" w:color="969696"/>
              <w:right w:val="nil"/>
            </w:tcBorders>
            <w:shd w:val="clear" w:color="000000" w:fill="auto"/>
            <w:vAlign w:val="center"/>
            <w:hideMark/>
          </w:tcPr>
          <w:p w:rsidR="006519D5" w:rsidRPr="006519D5" w:rsidRDefault="006519D5" w:rsidP="006519D5">
            <w:pPr>
              <w:spacing w:after="0" w:line="240" w:lineRule="auto"/>
              <w:jc w:val="center"/>
              <w:rPr>
                <w:rFonts w:ascii="Calibri" w:eastAsia="Times New Roman" w:hAnsi="Calibri" w:cs="Calibri"/>
                <w:bCs/>
                <w:color w:val="000000"/>
                <w:sz w:val="24"/>
                <w:szCs w:val="24"/>
                <w:lang w:eastAsia="en-GB"/>
              </w:rPr>
            </w:pPr>
            <w:r w:rsidRPr="006519D5">
              <w:rPr>
                <w:rFonts w:ascii="Calibri" w:eastAsia="Times New Roman" w:hAnsi="Calibri" w:cs="Calibri"/>
                <w:bCs/>
                <w:color w:val="000000"/>
                <w:sz w:val="24"/>
                <w:szCs w:val="24"/>
                <w:lang w:eastAsia="en-GB"/>
              </w:rPr>
              <w:t>1710</w:t>
            </w:r>
          </w:p>
        </w:tc>
        <w:tc>
          <w:tcPr>
            <w:tcW w:w="1040" w:type="dxa"/>
            <w:tcBorders>
              <w:top w:val="single" w:sz="8" w:space="0" w:color="969696"/>
              <w:left w:val="single" w:sz="8" w:space="0" w:color="969696"/>
              <w:bottom w:val="single" w:sz="8" w:space="0" w:color="969696"/>
              <w:right w:val="nil"/>
            </w:tcBorders>
            <w:shd w:val="clear" w:color="000000" w:fill="auto"/>
            <w:vAlign w:val="center"/>
            <w:hideMark/>
          </w:tcPr>
          <w:p w:rsidR="006519D5" w:rsidRPr="006519D5" w:rsidRDefault="006519D5" w:rsidP="006519D5">
            <w:pPr>
              <w:spacing w:after="0" w:line="240" w:lineRule="auto"/>
              <w:jc w:val="center"/>
              <w:rPr>
                <w:rFonts w:ascii="Calibri" w:eastAsia="Times New Roman" w:hAnsi="Calibri" w:cs="Calibri"/>
                <w:bCs/>
                <w:color w:val="000000"/>
                <w:sz w:val="24"/>
                <w:szCs w:val="24"/>
                <w:lang w:eastAsia="en-GB"/>
              </w:rPr>
            </w:pPr>
            <w:r w:rsidRPr="006519D5">
              <w:rPr>
                <w:rFonts w:ascii="Calibri" w:eastAsia="Times New Roman" w:hAnsi="Calibri" w:cs="Calibri"/>
                <w:bCs/>
                <w:color w:val="000000"/>
                <w:sz w:val="24"/>
                <w:szCs w:val="24"/>
                <w:lang w:eastAsia="en-GB"/>
              </w:rPr>
              <w:t>375</w:t>
            </w:r>
          </w:p>
        </w:tc>
        <w:tc>
          <w:tcPr>
            <w:tcW w:w="1188" w:type="dxa"/>
            <w:tcBorders>
              <w:top w:val="single" w:sz="8" w:space="0" w:color="969696"/>
              <w:left w:val="single" w:sz="8" w:space="0" w:color="969696"/>
              <w:bottom w:val="single" w:sz="8" w:space="0" w:color="969696"/>
              <w:right w:val="nil"/>
            </w:tcBorders>
            <w:shd w:val="clear" w:color="000000" w:fill="auto"/>
            <w:vAlign w:val="center"/>
            <w:hideMark/>
          </w:tcPr>
          <w:p w:rsidR="006519D5" w:rsidRPr="006519D5" w:rsidRDefault="006519D5" w:rsidP="006519D5">
            <w:pPr>
              <w:spacing w:after="0" w:line="240" w:lineRule="auto"/>
              <w:jc w:val="center"/>
              <w:rPr>
                <w:rFonts w:ascii="Calibri" w:eastAsia="Times New Roman" w:hAnsi="Calibri" w:cs="Calibri"/>
                <w:bCs/>
                <w:color w:val="000000"/>
                <w:sz w:val="24"/>
                <w:szCs w:val="24"/>
                <w:lang w:eastAsia="en-GB"/>
              </w:rPr>
            </w:pPr>
            <w:r w:rsidRPr="006519D5">
              <w:rPr>
                <w:rFonts w:ascii="Calibri" w:eastAsia="Times New Roman" w:hAnsi="Calibri" w:cs="Calibri"/>
                <w:bCs/>
                <w:color w:val="000000"/>
                <w:sz w:val="24"/>
                <w:szCs w:val="24"/>
                <w:lang w:eastAsia="en-GB"/>
              </w:rPr>
              <w:t>82.0%</w:t>
            </w:r>
          </w:p>
        </w:tc>
        <w:tc>
          <w:tcPr>
            <w:tcW w:w="1040" w:type="dxa"/>
            <w:tcBorders>
              <w:top w:val="single" w:sz="8" w:space="0" w:color="969696"/>
              <w:left w:val="single" w:sz="8" w:space="0" w:color="969696"/>
              <w:bottom w:val="single" w:sz="8" w:space="0" w:color="969696"/>
              <w:right w:val="single" w:sz="8" w:space="0" w:color="969696"/>
            </w:tcBorders>
            <w:shd w:val="clear" w:color="000000" w:fill="auto"/>
            <w:vAlign w:val="center"/>
            <w:hideMark/>
          </w:tcPr>
          <w:p w:rsidR="006519D5" w:rsidRPr="006519D5" w:rsidRDefault="006519D5" w:rsidP="006519D5">
            <w:pPr>
              <w:spacing w:after="0" w:line="240" w:lineRule="auto"/>
              <w:jc w:val="center"/>
              <w:rPr>
                <w:rFonts w:ascii="Calibri" w:eastAsia="Times New Roman" w:hAnsi="Calibri" w:cs="Calibri"/>
                <w:bCs/>
                <w:color w:val="000000"/>
                <w:sz w:val="24"/>
                <w:szCs w:val="24"/>
                <w:lang w:eastAsia="en-GB"/>
              </w:rPr>
            </w:pPr>
            <w:r w:rsidRPr="006519D5">
              <w:rPr>
                <w:rFonts w:ascii="Calibri" w:eastAsia="Times New Roman" w:hAnsi="Calibri" w:cs="Calibri"/>
                <w:bCs/>
                <w:color w:val="000000"/>
                <w:sz w:val="24"/>
                <w:szCs w:val="24"/>
                <w:lang w:eastAsia="en-GB"/>
              </w:rPr>
              <w:t>18.0%</w:t>
            </w:r>
          </w:p>
        </w:tc>
      </w:tr>
      <w:tr w:rsidR="006519D5" w:rsidRPr="006519D5" w:rsidTr="006519D5">
        <w:trPr>
          <w:trHeight w:val="352"/>
        </w:trPr>
        <w:tc>
          <w:tcPr>
            <w:tcW w:w="1280" w:type="dxa"/>
            <w:tcBorders>
              <w:top w:val="single" w:sz="8" w:space="0" w:color="969696"/>
              <w:left w:val="single" w:sz="8" w:space="0" w:color="969696"/>
              <w:bottom w:val="nil"/>
              <w:right w:val="nil"/>
            </w:tcBorders>
            <w:shd w:val="clear" w:color="000000" w:fill="9BC2E6"/>
            <w:vAlign w:val="center"/>
            <w:hideMark/>
          </w:tcPr>
          <w:p w:rsidR="006519D5" w:rsidRPr="006519D5" w:rsidRDefault="006519D5" w:rsidP="006519D5">
            <w:pPr>
              <w:spacing w:after="0" w:line="240" w:lineRule="auto"/>
              <w:rPr>
                <w:rFonts w:ascii="Calibri" w:eastAsia="Times New Roman" w:hAnsi="Calibri" w:cs="Calibri"/>
                <w:b/>
                <w:bCs/>
                <w:color w:val="000000"/>
                <w:sz w:val="24"/>
                <w:szCs w:val="24"/>
                <w:lang w:eastAsia="en-GB"/>
              </w:rPr>
            </w:pPr>
            <w:r w:rsidRPr="006519D5">
              <w:rPr>
                <w:rFonts w:ascii="Calibri" w:eastAsia="Times New Roman" w:hAnsi="Calibri" w:cs="Calibri"/>
                <w:b/>
                <w:bCs/>
                <w:color w:val="000000"/>
                <w:sz w:val="24"/>
                <w:szCs w:val="24"/>
                <w:lang w:eastAsia="en-GB"/>
              </w:rPr>
              <w:t>3</w:t>
            </w:r>
          </w:p>
        </w:tc>
        <w:tc>
          <w:tcPr>
            <w:tcW w:w="1160" w:type="dxa"/>
            <w:tcBorders>
              <w:top w:val="single" w:sz="8" w:space="0" w:color="969696"/>
              <w:left w:val="single" w:sz="8" w:space="0" w:color="969696"/>
              <w:bottom w:val="single" w:sz="8" w:space="0" w:color="969696"/>
              <w:right w:val="nil"/>
            </w:tcBorders>
            <w:shd w:val="clear" w:color="000000" w:fill="auto"/>
            <w:vAlign w:val="center"/>
            <w:hideMark/>
          </w:tcPr>
          <w:p w:rsidR="006519D5" w:rsidRPr="006519D5" w:rsidRDefault="006519D5" w:rsidP="006519D5">
            <w:pPr>
              <w:spacing w:after="0" w:line="240" w:lineRule="auto"/>
              <w:jc w:val="center"/>
              <w:rPr>
                <w:rFonts w:ascii="Calibri" w:eastAsia="Times New Roman" w:hAnsi="Calibri" w:cs="Calibri"/>
                <w:bCs/>
                <w:color w:val="000000"/>
                <w:sz w:val="24"/>
                <w:szCs w:val="24"/>
                <w:lang w:eastAsia="en-GB"/>
              </w:rPr>
            </w:pPr>
            <w:r w:rsidRPr="006519D5">
              <w:rPr>
                <w:rFonts w:ascii="Calibri" w:eastAsia="Times New Roman" w:hAnsi="Calibri" w:cs="Calibri"/>
                <w:bCs/>
                <w:color w:val="000000"/>
                <w:sz w:val="24"/>
                <w:szCs w:val="24"/>
                <w:lang w:eastAsia="en-GB"/>
              </w:rPr>
              <w:t>1758</w:t>
            </w:r>
          </w:p>
        </w:tc>
        <w:tc>
          <w:tcPr>
            <w:tcW w:w="1040" w:type="dxa"/>
            <w:tcBorders>
              <w:top w:val="single" w:sz="8" w:space="0" w:color="969696"/>
              <w:left w:val="single" w:sz="8" w:space="0" w:color="969696"/>
              <w:bottom w:val="single" w:sz="8" w:space="0" w:color="969696"/>
              <w:right w:val="nil"/>
            </w:tcBorders>
            <w:shd w:val="clear" w:color="000000" w:fill="auto"/>
            <w:vAlign w:val="center"/>
            <w:hideMark/>
          </w:tcPr>
          <w:p w:rsidR="006519D5" w:rsidRPr="006519D5" w:rsidRDefault="006519D5" w:rsidP="006519D5">
            <w:pPr>
              <w:spacing w:after="0" w:line="240" w:lineRule="auto"/>
              <w:jc w:val="center"/>
              <w:rPr>
                <w:rFonts w:ascii="Calibri" w:eastAsia="Times New Roman" w:hAnsi="Calibri" w:cs="Calibri"/>
                <w:bCs/>
                <w:color w:val="000000"/>
                <w:sz w:val="24"/>
                <w:szCs w:val="24"/>
                <w:lang w:eastAsia="en-GB"/>
              </w:rPr>
            </w:pPr>
            <w:r w:rsidRPr="006519D5">
              <w:rPr>
                <w:rFonts w:ascii="Calibri" w:eastAsia="Times New Roman" w:hAnsi="Calibri" w:cs="Calibri"/>
                <w:bCs/>
                <w:color w:val="000000"/>
                <w:sz w:val="24"/>
                <w:szCs w:val="24"/>
                <w:lang w:eastAsia="en-GB"/>
              </w:rPr>
              <w:t>344</w:t>
            </w:r>
          </w:p>
        </w:tc>
        <w:tc>
          <w:tcPr>
            <w:tcW w:w="1188" w:type="dxa"/>
            <w:tcBorders>
              <w:top w:val="single" w:sz="8" w:space="0" w:color="969696"/>
              <w:left w:val="single" w:sz="8" w:space="0" w:color="969696"/>
              <w:bottom w:val="single" w:sz="8" w:space="0" w:color="969696"/>
              <w:right w:val="nil"/>
            </w:tcBorders>
            <w:shd w:val="clear" w:color="000000" w:fill="auto"/>
            <w:vAlign w:val="center"/>
            <w:hideMark/>
          </w:tcPr>
          <w:p w:rsidR="006519D5" w:rsidRPr="006519D5" w:rsidRDefault="006519D5" w:rsidP="006519D5">
            <w:pPr>
              <w:spacing w:after="0" w:line="240" w:lineRule="auto"/>
              <w:jc w:val="center"/>
              <w:rPr>
                <w:rFonts w:ascii="Calibri" w:eastAsia="Times New Roman" w:hAnsi="Calibri" w:cs="Calibri"/>
                <w:bCs/>
                <w:color w:val="000000"/>
                <w:sz w:val="24"/>
                <w:szCs w:val="24"/>
                <w:lang w:eastAsia="en-GB"/>
              </w:rPr>
            </w:pPr>
            <w:r w:rsidRPr="006519D5">
              <w:rPr>
                <w:rFonts w:ascii="Calibri" w:eastAsia="Times New Roman" w:hAnsi="Calibri" w:cs="Calibri"/>
                <w:bCs/>
                <w:color w:val="000000"/>
                <w:sz w:val="24"/>
                <w:szCs w:val="24"/>
                <w:lang w:eastAsia="en-GB"/>
              </w:rPr>
              <w:t>83.6%</w:t>
            </w:r>
          </w:p>
        </w:tc>
        <w:tc>
          <w:tcPr>
            <w:tcW w:w="1040" w:type="dxa"/>
            <w:tcBorders>
              <w:top w:val="single" w:sz="8" w:space="0" w:color="969696"/>
              <w:left w:val="single" w:sz="8" w:space="0" w:color="969696"/>
              <w:bottom w:val="single" w:sz="8" w:space="0" w:color="969696"/>
              <w:right w:val="single" w:sz="8" w:space="0" w:color="969696"/>
            </w:tcBorders>
            <w:shd w:val="clear" w:color="000000" w:fill="auto"/>
            <w:vAlign w:val="center"/>
            <w:hideMark/>
          </w:tcPr>
          <w:p w:rsidR="006519D5" w:rsidRPr="006519D5" w:rsidRDefault="006519D5" w:rsidP="006519D5">
            <w:pPr>
              <w:spacing w:after="0" w:line="240" w:lineRule="auto"/>
              <w:jc w:val="center"/>
              <w:rPr>
                <w:rFonts w:ascii="Calibri" w:eastAsia="Times New Roman" w:hAnsi="Calibri" w:cs="Calibri"/>
                <w:bCs/>
                <w:color w:val="000000"/>
                <w:sz w:val="24"/>
                <w:szCs w:val="24"/>
                <w:lang w:eastAsia="en-GB"/>
              </w:rPr>
            </w:pPr>
            <w:r w:rsidRPr="006519D5">
              <w:rPr>
                <w:rFonts w:ascii="Calibri" w:eastAsia="Times New Roman" w:hAnsi="Calibri" w:cs="Calibri"/>
                <w:bCs/>
                <w:color w:val="000000"/>
                <w:sz w:val="24"/>
                <w:szCs w:val="24"/>
                <w:lang w:eastAsia="en-GB"/>
              </w:rPr>
              <w:t>16.4%</w:t>
            </w:r>
          </w:p>
        </w:tc>
      </w:tr>
      <w:tr w:rsidR="006519D5" w:rsidRPr="006519D5" w:rsidTr="006519D5">
        <w:trPr>
          <w:trHeight w:val="352"/>
        </w:trPr>
        <w:tc>
          <w:tcPr>
            <w:tcW w:w="1280" w:type="dxa"/>
            <w:tcBorders>
              <w:top w:val="single" w:sz="8" w:space="0" w:color="969696"/>
              <w:left w:val="single" w:sz="8" w:space="0" w:color="969696"/>
              <w:bottom w:val="double" w:sz="4" w:space="0" w:color="969696"/>
              <w:right w:val="nil"/>
            </w:tcBorders>
            <w:shd w:val="clear" w:color="000000" w:fill="9BC2E6"/>
            <w:vAlign w:val="center"/>
            <w:hideMark/>
          </w:tcPr>
          <w:p w:rsidR="006519D5" w:rsidRPr="006519D5" w:rsidRDefault="006519D5" w:rsidP="006519D5">
            <w:pPr>
              <w:spacing w:after="0" w:line="240" w:lineRule="auto"/>
              <w:rPr>
                <w:rFonts w:ascii="Calibri" w:eastAsia="Times New Roman" w:hAnsi="Calibri" w:cs="Calibri"/>
                <w:b/>
                <w:bCs/>
                <w:color w:val="000000"/>
                <w:sz w:val="24"/>
                <w:szCs w:val="24"/>
                <w:lang w:eastAsia="en-GB"/>
              </w:rPr>
            </w:pPr>
            <w:r w:rsidRPr="006519D5">
              <w:rPr>
                <w:rFonts w:ascii="Calibri" w:eastAsia="Times New Roman" w:hAnsi="Calibri" w:cs="Calibri"/>
                <w:b/>
                <w:bCs/>
                <w:color w:val="000000"/>
                <w:sz w:val="24"/>
                <w:szCs w:val="24"/>
                <w:lang w:eastAsia="en-GB"/>
              </w:rPr>
              <w:t>4</w:t>
            </w:r>
          </w:p>
        </w:tc>
        <w:tc>
          <w:tcPr>
            <w:tcW w:w="1160" w:type="dxa"/>
            <w:tcBorders>
              <w:top w:val="single" w:sz="8" w:space="0" w:color="969696"/>
              <w:left w:val="single" w:sz="8" w:space="0" w:color="969696"/>
              <w:bottom w:val="double" w:sz="4" w:space="0" w:color="969696"/>
              <w:right w:val="nil"/>
            </w:tcBorders>
            <w:shd w:val="clear" w:color="000000" w:fill="auto"/>
            <w:vAlign w:val="center"/>
            <w:hideMark/>
          </w:tcPr>
          <w:p w:rsidR="006519D5" w:rsidRPr="006519D5" w:rsidRDefault="006519D5" w:rsidP="006519D5">
            <w:pPr>
              <w:spacing w:after="0" w:line="240" w:lineRule="auto"/>
              <w:jc w:val="center"/>
              <w:rPr>
                <w:rFonts w:ascii="Calibri" w:eastAsia="Times New Roman" w:hAnsi="Calibri" w:cs="Calibri"/>
                <w:bCs/>
                <w:color w:val="000000"/>
                <w:sz w:val="24"/>
                <w:szCs w:val="24"/>
                <w:lang w:eastAsia="en-GB"/>
              </w:rPr>
            </w:pPr>
            <w:r w:rsidRPr="006519D5">
              <w:rPr>
                <w:rFonts w:ascii="Calibri" w:eastAsia="Times New Roman" w:hAnsi="Calibri" w:cs="Calibri"/>
                <w:bCs/>
                <w:color w:val="000000"/>
                <w:sz w:val="24"/>
                <w:szCs w:val="24"/>
                <w:lang w:eastAsia="en-GB"/>
              </w:rPr>
              <w:t>1338</w:t>
            </w:r>
          </w:p>
        </w:tc>
        <w:tc>
          <w:tcPr>
            <w:tcW w:w="1040" w:type="dxa"/>
            <w:tcBorders>
              <w:top w:val="single" w:sz="8" w:space="0" w:color="969696"/>
              <w:left w:val="single" w:sz="8" w:space="0" w:color="969696"/>
              <w:bottom w:val="double" w:sz="4" w:space="0" w:color="969696"/>
              <w:right w:val="nil"/>
            </w:tcBorders>
            <w:shd w:val="clear" w:color="000000" w:fill="auto"/>
            <w:vAlign w:val="center"/>
            <w:hideMark/>
          </w:tcPr>
          <w:p w:rsidR="006519D5" w:rsidRPr="006519D5" w:rsidRDefault="006519D5" w:rsidP="006519D5">
            <w:pPr>
              <w:spacing w:after="0" w:line="240" w:lineRule="auto"/>
              <w:jc w:val="center"/>
              <w:rPr>
                <w:rFonts w:ascii="Calibri" w:eastAsia="Times New Roman" w:hAnsi="Calibri" w:cs="Calibri"/>
                <w:bCs/>
                <w:color w:val="000000"/>
                <w:sz w:val="24"/>
                <w:szCs w:val="24"/>
                <w:lang w:eastAsia="en-GB"/>
              </w:rPr>
            </w:pPr>
            <w:r w:rsidRPr="006519D5">
              <w:rPr>
                <w:rFonts w:ascii="Calibri" w:eastAsia="Times New Roman" w:hAnsi="Calibri" w:cs="Calibri"/>
                <w:bCs/>
                <w:color w:val="000000"/>
                <w:sz w:val="24"/>
                <w:szCs w:val="24"/>
                <w:lang w:eastAsia="en-GB"/>
              </w:rPr>
              <w:t>756</w:t>
            </w:r>
          </w:p>
        </w:tc>
        <w:tc>
          <w:tcPr>
            <w:tcW w:w="1188" w:type="dxa"/>
            <w:tcBorders>
              <w:top w:val="single" w:sz="8" w:space="0" w:color="969696"/>
              <w:left w:val="single" w:sz="8" w:space="0" w:color="969696"/>
              <w:bottom w:val="double" w:sz="4" w:space="0" w:color="969696"/>
              <w:right w:val="nil"/>
            </w:tcBorders>
            <w:shd w:val="clear" w:color="000000" w:fill="auto"/>
            <w:vAlign w:val="center"/>
            <w:hideMark/>
          </w:tcPr>
          <w:p w:rsidR="006519D5" w:rsidRPr="006519D5" w:rsidRDefault="006519D5" w:rsidP="006519D5">
            <w:pPr>
              <w:spacing w:after="0" w:line="240" w:lineRule="auto"/>
              <w:jc w:val="center"/>
              <w:rPr>
                <w:rFonts w:ascii="Calibri" w:eastAsia="Times New Roman" w:hAnsi="Calibri" w:cs="Calibri"/>
                <w:bCs/>
                <w:color w:val="000000"/>
                <w:sz w:val="24"/>
                <w:szCs w:val="24"/>
                <w:lang w:eastAsia="en-GB"/>
              </w:rPr>
            </w:pPr>
            <w:r w:rsidRPr="006519D5">
              <w:rPr>
                <w:rFonts w:ascii="Calibri" w:eastAsia="Times New Roman" w:hAnsi="Calibri" w:cs="Calibri"/>
                <w:bCs/>
                <w:color w:val="000000"/>
                <w:sz w:val="24"/>
                <w:szCs w:val="24"/>
                <w:lang w:eastAsia="en-GB"/>
              </w:rPr>
              <w:t>63.9%</w:t>
            </w:r>
          </w:p>
        </w:tc>
        <w:tc>
          <w:tcPr>
            <w:tcW w:w="1040" w:type="dxa"/>
            <w:tcBorders>
              <w:top w:val="single" w:sz="8" w:space="0" w:color="969696"/>
              <w:left w:val="single" w:sz="8" w:space="0" w:color="969696"/>
              <w:bottom w:val="double" w:sz="4" w:space="0" w:color="969696"/>
              <w:right w:val="single" w:sz="8" w:space="0" w:color="969696"/>
            </w:tcBorders>
            <w:shd w:val="clear" w:color="000000" w:fill="auto"/>
            <w:vAlign w:val="center"/>
            <w:hideMark/>
          </w:tcPr>
          <w:p w:rsidR="006519D5" w:rsidRPr="006519D5" w:rsidRDefault="006519D5" w:rsidP="006519D5">
            <w:pPr>
              <w:spacing w:after="0" w:line="240" w:lineRule="auto"/>
              <w:jc w:val="center"/>
              <w:rPr>
                <w:rFonts w:ascii="Calibri" w:eastAsia="Times New Roman" w:hAnsi="Calibri" w:cs="Calibri"/>
                <w:bCs/>
                <w:color w:val="000000"/>
                <w:sz w:val="24"/>
                <w:szCs w:val="24"/>
                <w:lang w:eastAsia="en-GB"/>
              </w:rPr>
            </w:pPr>
            <w:r w:rsidRPr="006519D5">
              <w:rPr>
                <w:rFonts w:ascii="Calibri" w:eastAsia="Times New Roman" w:hAnsi="Calibri" w:cs="Calibri"/>
                <w:bCs/>
                <w:color w:val="000000"/>
                <w:sz w:val="24"/>
                <w:szCs w:val="24"/>
                <w:lang w:eastAsia="en-GB"/>
              </w:rPr>
              <w:t>36.1%</w:t>
            </w:r>
          </w:p>
        </w:tc>
      </w:tr>
      <w:tr w:rsidR="00855380" w:rsidRPr="00855380" w:rsidTr="006519D5">
        <w:trPr>
          <w:trHeight w:val="89"/>
        </w:trPr>
        <w:tc>
          <w:tcPr>
            <w:tcW w:w="1280" w:type="dxa"/>
            <w:tcBorders>
              <w:top w:val="double" w:sz="4" w:space="0" w:color="969696"/>
              <w:left w:val="double" w:sz="4" w:space="0" w:color="969696"/>
              <w:bottom w:val="single" w:sz="8" w:space="0" w:color="969696"/>
              <w:right w:val="double" w:sz="4" w:space="0" w:color="969696"/>
            </w:tcBorders>
            <w:shd w:val="clear" w:color="auto" w:fill="C6D9F1" w:themeFill="text2" w:themeFillTint="33"/>
            <w:noWrap/>
            <w:vAlign w:val="center"/>
            <w:hideMark/>
          </w:tcPr>
          <w:p w:rsidR="00855380" w:rsidRPr="00855380" w:rsidRDefault="00855380" w:rsidP="00855380">
            <w:pPr>
              <w:spacing w:after="0" w:line="240" w:lineRule="auto"/>
              <w:rPr>
                <w:rFonts w:ascii="Calibri" w:eastAsia="Times New Roman" w:hAnsi="Calibri" w:cs="Calibri"/>
                <w:b/>
                <w:bCs/>
                <w:color w:val="1F497D"/>
                <w:sz w:val="24"/>
                <w:szCs w:val="24"/>
                <w:lang w:eastAsia="en-GB"/>
              </w:rPr>
            </w:pPr>
            <w:r w:rsidRPr="006519D5">
              <w:rPr>
                <w:rFonts w:ascii="Calibri" w:eastAsia="Times New Roman" w:hAnsi="Calibri" w:cs="Calibri"/>
                <w:b/>
                <w:bCs/>
                <w:sz w:val="24"/>
                <w:szCs w:val="24"/>
              </w:rPr>
              <w:t xml:space="preserve">TOTAL  </w:t>
            </w:r>
          </w:p>
        </w:tc>
        <w:tc>
          <w:tcPr>
            <w:tcW w:w="1160" w:type="dxa"/>
            <w:tcBorders>
              <w:top w:val="double" w:sz="4" w:space="0" w:color="969696"/>
              <w:left w:val="double" w:sz="4" w:space="0" w:color="969696"/>
              <w:bottom w:val="single" w:sz="8" w:space="0" w:color="969696"/>
              <w:right w:val="double" w:sz="4" w:space="0" w:color="969696"/>
            </w:tcBorders>
            <w:shd w:val="clear" w:color="auto" w:fill="auto"/>
            <w:noWrap/>
            <w:vAlign w:val="bottom"/>
            <w:hideMark/>
          </w:tcPr>
          <w:p w:rsidR="00855380" w:rsidRPr="00855380" w:rsidRDefault="006519D5" w:rsidP="006519D5">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6556</w:t>
            </w:r>
          </w:p>
        </w:tc>
        <w:tc>
          <w:tcPr>
            <w:tcW w:w="1040" w:type="dxa"/>
            <w:tcBorders>
              <w:top w:val="double" w:sz="4" w:space="0" w:color="969696"/>
              <w:left w:val="double" w:sz="4" w:space="0" w:color="969696"/>
              <w:bottom w:val="single" w:sz="8" w:space="0" w:color="969696"/>
              <w:right w:val="double" w:sz="4" w:space="0" w:color="969696"/>
            </w:tcBorders>
            <w:shd w:val="clear" w:color="auto" w:fill="auto"/>
            <w:noWrap/>
            <w:vAlign w:val="bottom"/>
            <w:hideMark/>
          </w:tcPr>
          <w:p w:rsidR="00855380" w:rsidRPr="00855380" w:rsidRDefault="006519D5" w:rsidP="006519D5">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1819</w:t>
            </w:r>
          </w:p>
        </w:tc>
        <w:tc>
          <w:tcPr>
            <w:tcW w:w="1188" w:type="dxa"/>
            <w:tcBorders>
              <w:top w:val="double" w:sz="4" w:space="0" w:color="969696"/>
              <w:left w:val="double" w:sz="4" w:space="0" w:color="969696"/>
              <w:bottom w:val="single" w:sz="8" w:space="0" w:color="969696"/>
              <w:right w:val="double" w:sz="4" w:space="0" w:color="969696"/>
            </w:tcBorders>
            <w:shd w:val="clear" w:color="auto" w:fill="auto"/>
            <w:noWrap/>
            <w:vAlign w:val="bottom"/>
            <w:hideMark/>
          </w:tcPr>
          <w:p w:rsidR="00855380" w:rsidRPr="00855380" w:rsidRDefault="00855380" w:rsidP="006519D5">
            <w:pPr>
              <w:spacing w:after="0" w:line="240" w:lineRule="auto"/>
              <w:jc w:val="center"/>
              <w:rPr>
                <w:rFonts w:ascii="Calibri" w:eastAsia="Times New Roman" w:hAnsi="Calibri" w:cs="Calibri"/>
                <w:color w:val="000000"/>
                <w:sz w:val="24"/>
                <w:szCs w:val="24"/>
                <w:lang w:eastAsia="en-GB"/>
              </w:rPr>
            </w:pPr>
            <w:r w:rsidRPr="00855380">
              <w:rPr>
                <w:rFonts w:ascii="Calibri" w:eastAsia="Times New Roman" w:hAnsi="Calibri" w:cs="Calibri"/>
                <w:color w:val="000000"/>
                <w:sz w:val="24"/>
                <w:szCs w:val="24"/>
                <w:lang w:eastAsia="en-GB"/>
              </w:rPr>
              <w:t>7</w:t>
            </w:r>
            <w:r w:rsidR="006519D5">
              <w:rPr>
                <w:rFonts w:ascii="Calibri" w:eastAsia="Times New Roman" w:hAnsi="Calibri" w:cs="Calibri"/>
                <w:color w:val="000000"/>
                <w:sz w:val="24"/>
                <w:szCs w:val="24"/>
                <w:lang w:eastAsia="en-GB"/>
              </w:rPr>
              <w:t>8.3</w:t>
            </w:r>
            <w:r w:rsidRPr="00855380">
              <w:rPr>
                <w:rFonts w:ascii="Calibri" w:eastAsia="Times New Roman" w:hAnsi="Calibri" w:cs="Calibri"/>
                <w:color w:val="000000"/>
                <w:sz w:val="24"/>
                <w:szCs w:val="24"/>
                <w:lang w:eastAsia="en-GB"/>
              </w:rPr>
              <w:t>%</w:t>
            </w:r>
          </w:p>
        </w:tc>
        <w:tc>
          <w:tcPr>
            <w:tcW w:w="1040" w:type="dxa"/>
            <w:tcBorders>
              <w:top w:val="double" w:sz="4" w:space="0" w:color="969696"/>
              <w:left w:val="double" w:sz="4" w:space="0" w:color="969696"/>
              <w:bottom w:val="single" w:sz="8" w:space="0" w:color="969696"/>
              <w:right w:val="double" w:sz="4" w:space="0" w:color="969696"/>
            </w:tcBorders>
            <w:shd w:val="clear" w:color="auto" w:fill="auto"/>
            <w:noWrap/>
            <w:vAlign w:val="bottom"/>
            <w:hideMark/>
          </w:tcPr>
          <w:p w:rsidR="00855380" w:rsidRPr="00855380" w:rsidRDefault="00855380" w:rsidP="006519D5">
            <w:pPr>
              <w:spacing w:after="0" w:line="240" w:lineRule="auto"/>
              <w:jc w:val="center"/>
              <w:rPr>
                <w:rFonts w:ascii="Calibri" w:eastAsia="Times New Roman" w:hAnsi="Calibri" w:cs="Calibri"/>
                <w:color w:val="000000"/>
                <w:sz w:val="24"/>
                <w:szCs w:val="24"/>
                <w:lang w:eastAsia="en-GB"/>
              </w:rPr>
            </w:pPr>
            <w:r w:rsidRPr="00855380">
              <w:rPr>
                <w:rFonts w:ascii="Calibri" w:eastAsia="Times New Roman" w:hAnsi="Calibri" w:cs="Calibri"/>
                <w:color w:val="000000"/>
                <w:sz w:val="24"/>
                <w:szCs w:val="24"/>
                <w:lang w:eastAsia="en-GB"/>
              </w:rPr>
              <w:t>21.</w:t>
            </w:r>
            <w:r w:rsidR="006519D5">
              <w:rPr>
                <w:rFonts w:ascii="Calibri" w:eastAsia="Times New Roman" w:hAnsi="Calibri" w:cs="Calibri"/>
                <w:color w:val="000000"/>
                <w:sz w:val="24"/>
                <w:szCs w:val="24"/>
                <w:lang w:eastAsia="en-GB"/>
              </w:rPr>
              <w:t>7</w:t>
            </w:r>
            <w:r w:rsidRPr="00855380">
              <w:rPr>
                <w:rFonts w:ascii="Calibri" w:eastAsia="Times New Roman" w:hAnsi="Calibri" w:cs="Calibri"/>
                <w:color w:val="000000"/>
                <w:sz w:val="24"/>
                <w:szCs w:val="24"/>
                <w:lang w:eastAsia="en-GB"/>
              </w:rPr>
              <w:t>%</w:t>
            </w:r>
          </w:p>
        </w:tc>
      </w:tr>
      <w:tr w:rsidR="00855380" w:rsidRPr="00855380" w:rsidTr="006519D5">
        <w:trPr>
          <w:trHeight w:val="51"/>
        </w:trPr>
        <w:tc>
          <w:tcPr>
            <w:tcW w:w="2440" w:type="dxa"/>
            <w:gridSpan w:val="2"/>
            <w:tcBorders>
              <w:top w:val="single" w:sz="8" w:space="0" w:color="969696"/>
              <w:left w:val="double" w:sz="4" w:space="0" w:color="969696"/>
              <w:bottom w:val="double" w:sz="4" w:space="0" w:color="969696"/>
              <w:right w:val="double" w:sz="4" w:space="0" w:color="969696"/>
            </w:tcBorders>
            <w:shd w:val="clear" w:color="auto" w:fill="C6D9F1" w:themeFill="text2" w:themeFillTint="33"/>
            <w:noWrap/>
            <w:vAlign w:val="center"/>
            <w:hideMark/>
          </w:tcPr>
          <w:p w:rsidR="00855380" w:rsidRPr="00855380" w:rsidRDefault="00855380" w:rsidP="00855380">
            <w:pPr>
              <w:spacing w:after="0" w:line="240" w:lineRule="auto"/>
              <w:rPr>
                <w:rFonts w:ascii="Calibri" w:eastAsia="Times New Roman" w:hAnsi="Calibri" w:cs="Calibri"/>
                <w:b/>
                <w:bCs/>
                <w:color w:val="1F497D"/>
                <w:sz w:val="24"/>
                <w:szCs w:val="24"/>
                <w:lang w:eastAsia="en-GB"/>
              </w:rPr>
            </w:pPr>
            <w:r w:rsidRPr="006519D5">
              <w:rPr>
                <w:rFonts w:ascii="Calibri" w:eastAsia="Times New Roman" w:hAnsi="Calibri" w:cs="Calibri"/>
                <w:b/>
                <w:bCs/>
                <w:sz w:val="24"/>
                <w:szCs w:val="24"/>
                <w:lang w:eastAsia="en-GB"/>
              </w:rPr>
              <w:t xml:space="preserve">TOTAL EMPLOYEES </w:t>
            </w:r>
          </w:p>
        </w:tc>
        <w:tc>
          <w:tcPr>
            <w:tcW w:w="1040" w:type="dxa"/>
            <w:tcBorders>
              <w:top w:val="single" w:sz="8" w:space="0" w:color="969696"/>
              <w:left w:val="double" w:sz="4" w:space="0" w:color="969696"/>
              <w:bottom w:val="double" w:sz="4" w:space="0" w:color="969696"/>
              <w:right w:val="double" w:sz="4" w:space="0" w:color="969696"/>
            </w:tcBorders>
            <w:shd w:val="clear" w:color="auto" w:fill="auto"/>
            <w:noWrap/>
            <w:vAlign w:val="bottom"/>
            <w:hideMark/>
          </w:tcPr>
          <w:p w:rsidR="00855380" w:rsidRPr="00855380" w:rsidRDefault="00855380" w:rsidP="006519D5">
            <w:pPr>
              <w:spacing w:after="0" w:line="240" w:lineRule="auto"/>
              <w:jc w:val="center"/>
              <w:rPr>
                <w:rFonts w:ascii="Calibri" w:eastAsia="Times New Roman" w:hAnsi="Calibri" w:cs="Calibri"/>
                <w:b/>
                <w:bCs/>
                <w:color w:val="000000"/>
                <w:sz w:val="24"/>
                <w:szCs w:val="24"/>
                <w:lang w:eastAsia="en-GB"/>
              </w:rPr>
            </w:pPr>
            <w:r w:rsidRPr="00855380">
              <w:rPr>
                <w:rFonts w:ascii="Calibri" w:eastAsia="Times New Roman" w:hAnsi="Calibri" w:cs="Calibri"/>
                <w:b/>
                <w:bCs/>
                <w:color w:val="000000"/>
                <w:sz w:val="24"/>
                <w:szCs w:val="24"/>
                <w:lang w:eastAsia="en-GB"/>
              </w:rPr>
              <w:t>8</w:t>
            </w:r>
            <w:r w:rsidR="006519D5">
              <w:rPr>
                <w:rFonts w:ascii="Calibri" w:eastAsia="Times New Roman" w:hAnsi="Calibri" w:cs="Calibri"/>
                <w:b/>
                <w:bCs/>
                <w:color w:val="000000"/>
                <w:sz w:val="24"/>
                <w:szCs w:val="24"/>
                <w:lang w:eastAsia="en-GB"/>
              </w:rPr>
              <w:t>375</w:t>
            </w:r>
          </w:p>
        </w:tc>
        <w:tc>
          <w:tcPr>
            <w:tcW w:w="1188" w:type="dxa"/>
            <w:tcBorders>
              <w:top w:val="single" w:sz="8" w:space="0" w:color="969696"/>
              <w:left w:val="double" w:sz="4" w:space="0" w:color="969696"/>
              <w:bottom w:val="double" w:sz="4" w:space="0" w:color="969696"/>
              <w:right w:val="double" w:sz="4" w:space="0" w:color="969696"/>
            </w:tcBorders>
            <w:shd w:val="clear" w:color="auto" w:fill="auto"/>
            <w:noWrap/>
            <w:vAlign w:val="bottom"/>
            <w:hideMark/>
          </w:tcPr>
          <w:p w:rsidR="00855380" w:rsidRPr="00855380" w:rsidRDefault="00855380" w:rsidP="00855380">
            <w:pPr>
              <w:spacing w:after="0" w:line="240" w:lineRule="auto"/>
              <w:jc w:val="right"/>
              <w:rPr>
                <w:rFonts w:ascii="Calibri" w:eastAsia="Times New Roman" w:hAnsi="Calibri" w:cs="Calibri"/>
                <w:b/>
                <w:bCs/>
                <w:color w:val="000000"/>
                <w:sz w:val="24"/>
                <w:szCs w:val="24"/>
                <w:lang w:eastAsia="en-GB"/>
              </w:rPr>
            </w:pPr>
          </w:p>
        </w:tc>
        <w:tc>
          <w:tcPr>
            <w:tcW w:w="1040" w:type="dxa"/>
            <w:tcBorders>
              <w:top w:val="single" w:sz="8" w:space="0" w:color="969696"/>
              <w:left w:val="double" w:sz="4" w:space="0" w:color="969696"/>
              <w:bottom w:val="double" w:sz="4" w:space="0" w:color="969696"/>
              <w:right w:val="double" w:sz="4" w:space="0" w:color="969696"/>
            </w:tcBorders>
            <w:shd w:val="clear" w:color="auto" w:fill="auto"/>
            <w:noWrap/>
            <w:vAlign w:val="bottom"/>
            <w:hideMark/>
          </w:tcPr>
          <w:p w:rsidR="00855380" w:rsidRPr="00855380" w:rsidRDefault="00855380" w:rsidP="00855380">
            <w:pPr>
              <w:spacing w:after="0" w:line="240" w:lineRule="auto"/>
              <w:rPr>
                <w:rFonts w:ascii="Times New Roman" w:eastAsia="Times New Roman" w:hAnsi="Times New Roman" w:cs="Times New Roman"/>
                <w:sz w:val="20"/>
                <w:szCs w:val="20"/>
                <w:lang w:eastAsia="en-GB"/>
              </w:rPr>
            </w:pPr>
          </w:p>
        </w:tc>
      </w:tr>
    </w:tbl>
    <w:p w:rsidR="006519D5" w:rsidRDefault="006519D5" w:rsidP="00832692">
      <w:pPr>
        <w:pStyle w:val="Heading1"/>
        <w:spacing w:before="0" w:after="120"/>
        <w:rPr>
          <w:rFonts w:ascii="Arial" w:hAnsi="Arial" w:cs="Arial"/>
          <w:color w:val="auto"/>
          <w:sz w:val="22"/>
          <w:szCs w:val="22"/>
        </w:rPr>
      </w:pPr>
    </w:p>
    <w:p w:rsidR="00C44EBC" w:rsidRPr="00832692" w:rsidRDefault="00832692" w:rsidP="00832692">
      <w:pPr>
        <w:pStyle w:val="Heading1"/>
        <w:spacing w:before="0" w:after="120"/>
        <w:rPr>
          <w:rFonts w:ascii="Arial" w:hAnsi="Arial" w:cs="Arial"/>
          <w:color w:val="auto"/>
          <w:sz w:val="22"/>
          <w:szCs w:val="22"/>
        </w:rPr>
      </w:pPr>
      <w:r>
        <w:rPr>
          <w:rFonts w:ascii="Arial" w:hAnsi="Arial" w:cs="Arial"/>
          <w:color w:val="auto"/>
          <w:sz w:val="22"/>
          <w:szCs w:val="22"/>
        </w:rPr>
        <w:t xml:space="preserve">NB: See pages 6 to 12 for further details and analysis </w:t>
      </w:r>
    </w:p>
    <w:p w:rsidR="00C44EBC" w:rsidRPr="00C44EBC" w:rsidRDefault="00C44EBC" w:rsidP="00C44EBC"/>
    <w:p w:rsidR="00B12C62" w:rsidRDefault="00B12C62" w:rsidP="00B12C62">
      <w:pPr>
        <w:pStyle w:val="Heading1"/>
        <w:spacing w:before="0" w:after="120"/>
        <w:jc w:val="center"/>
        <w:rPr>
          <w:rFonts w:ascii="Arial" w:hAnsi="Arial" w:cs="Arial"/>
          <w:color w:val="auto"/>
          <w:sz w:val="32"/>
          <w:szCs w:val="32"/>
        </w:rPr>
      </w:pPr>
      <w:r w:rsidRPr="004F69FE">
        <w:rPr>
          <w:rFonts w:ascii="Arial" w:hAnsi="Arial" w:cs="Arial"/>
          <w:noProof/>
          <w:color w:val="92D050"/>
          <w:lang w:eastAsia="en-GB"/>
        </w:rPr>
        <mc:AlternateContent>
          <mc:Choice Requires="wps">
            <w:drawing>
              <wp:anchor distT="45720" distB="45720" distL="114300" distR="114300" simplePos="0" relativeHeight="251659264" behindDoc="0" locked="0" layoutInCell="1" allowOverlap="1" wp14:anchorId="3224272A" wp14:editId="2FFF37D2">
                <wp:simplePos x="0" y="0"/>
                <wp:positionH relativeFrom="margin">
                  <wp:align>left</wp:align>
                </wp:positionH>
                <wp:positionV relativeFrom="paragraph">
                  <wp:posOffset>381000</wp:posOffset>
                </wp:positionV>
                <wp:extent cx="5773420" cy="697230"/>
                <wp:effectExtent l="0" t="0" r="1778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6972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F4376" w:rsidRDefault="006F4376" w:rsidP="009A403E">
                            <w:r w:rsidRPr="00EE065B">
                              <w:rPr>
                                <w:rFonts w:ascii="Arial" w:eastAsia="Times New Roman" w:hAnsi="Arial" w:cs="Arial"/>
                                <w:color w:val="000000"/>
                                <w:sz w:val="24"/>
                                <w:szCs w:val="24"/>
                                <w:lang w:eastAsia="en-GB"/>
                              </w:rPr>
                              <w:t>The bonus data submitted under the regulations includes all staff even Bank and this totals 9</w:t>
                            </w:r>
                            <w:r>
                              <w:rPr>
                                <w:rFonts w:ascii="Arial" w:eastAsia="Times New Roman" w:hAnsi="Arial" w:cs="Arial"/>
                                <w:color w:val="000000"/>
                                <w:sz w:val="24"/>
                                <w:szCs w:val="24"/>
                                <w:lang w:eastAsia="en-GB"/>
                              </w:rPr>
                              <w:t>820</w:t>
                            </w:r>
                            <w:r w:rsidRPr="00EE065B">
                              <w:rPr>
                                <w:rFonts w:ascii="Arial" w:eastAsia="Times New Roman" w:hAnsi="Arial" w:cs="Arial"/>
                                <w:color w:val="000000"/>
                                <w:sz w:val="24"/>
                                <w:szCs w:val="24"/>
                                <w:lang w:eastAsia="en-GB"/>
                              </w:rPr>
                              <w:t xml:space="preserve"> staff. Relevant staff for Ordinary Pay Gap reporting totals 8</w:t>
                            </w:r>
                            <w:r>
                              <w:rPr>
                                <w:rFonts w:ascii="Arial" w:eastAsia="Times New Roman" w:hAnsi="Arial" w:cs="Arial"/>
                                <w:color w:val="000000"/>
                                <w:sz w:val="24"/>
                                <w:szCs w:val="24"/>
                                <w:lang w:eastAsia="en-GB"/>
                              </w:rPr>
                              <w:t>375</w:t>
                            </w:r>
                            <w:r w:rsidRPr="00EE065B">
                              <w:rPr>
                                <w:rFonts w:ascii="Arial" w:eastAsia="Times New Roman" w:hAnsi="Arial" w:cs="Arial"/>
                                <w:color w:val="000000"/>
                                <w:sz w:val="24"/>
                                <w:szCs w:val="24"/>
                                <w:lang w:eastAsia="en-GB"/>
                              </w:rPr>
                              <w:t>. Thi</w:t>
                            </w:r>
                            <w:r>
                              <w:rPr>
                                <w:rFonts w:ascii="Arial" w:eastAsia="Times New Roman" w:hAnsi="Arial" w:cs="Arial"/>
                                <w:color w:val="000000"/>
                                <w:sz w:val="24"/>
                                <w:szCs w:val="24"/>
                                <w:lang w:eastAsia="en-GB"/>
                              </w:rPr>
                              <w:t>s will impact the data results. (</w:t>
                            </w:r>
                            <w:r w:rsidRPr="001108D9">
                              <w:rPr>
                                <w:rFonts w:ascii="Arial" w:eastAsia="Times New Roman" w:hAnsi="Arial" w:cs="Arial"/>
                                <w:i/>
                                <w:color w:val="000000"/>
                                <w:sz w:val="24"/>
                                <w:szCs w:val="24"/>
                                <w:lang w:eastAsia="en-GB"/>
                              </w:rPr>
                              <w:t>Last year the 2 figures were 9546 and 8273</w:t>
                            </w:r>
                            <w:r>
                              <w:rPr>
                                <w:rFonts w:ascii="Arial" w:eastAsia="Times New Roman" w:hAnsi="Arial" w:cs="Arial"/>
                                <w:color w:val="000000"/>
                                <w:sz w:val="24"/>
                                <w:szCs w:val="24"/>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4272A" id="_x0000_s1030" type="#_x0000_t202" style="position:absolute;left:0;text-align:left;margin-left:0;margin-top:30pt;width:454.6pt;height:54.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" fillcolor="white [3201]" strokecolor="#4f81bd [3204]" strokeweight="2pt">
                <v:textbox>
                  <w:txbxContent>
                    <w:p w:rsidR="006F4376" w:rsidRDefault="006F4376" w:rsidP="009A403E">
                      <w:r w:rsidRPr="00EE065B">
                        <w:rPr>
                          <w:rFonts w:ascii="Arial" w:eastAsia="Times New Roman" w:hAnsi="Arial" w:cs="Arial"/>
                          <w:color w:val="000000"/>
                          <w:sz w:val="24"/>
                          <w:szCs w:val="24"/>
                          <w:lang w:eastAsia="en-GB"/>
                        </w:rPr>
                        <w:t>The bonus data submitted under the regulations includes all staff even Bank and this totals 9</w:t>
                      </w:r>
                      <w:r>
                        <w:rPr>
                          <w:rFonts w:ascii="Arial" w:eastAsia="Times New Roman" w:hAnsi="Arial" w:cs="Arial"/>
                          <w:color w:val="000000"/>
                          <w:sz w:val="24"/>
                          <w:szCs w:val="24"/>
                          <w:lang w:eastAsia="en-GB"/>
                        </w:rPr>
                        <w:t>820</w:t>
                      </w:r>
                      <w:r w:rsidRPr="00EE065B">
                        <w:rPr>
                          <w:rFonts w:ascii="Arial" w:eastAsia="Times New Roman" w:hAnsi="Arial" w:cs="Arial"/>
                          <w:color w:val="000000"/>
                          <w:sz w:val="24"/>
                          <w:szCs w:val="24"/>
                          <w:lang w:eastAsia="en-GB"/>
                        </w:rPr>
                        <w:t xml:space="preserve"> staff. Relevant staff for Ordinary Pay Gap reporting totals 8</w:t>
                      </w:r>
                      <w:r>
                        <w:rPr>
                          <w:rFonts w:ascii="Arial" w:eastAsia="Times New Roman" w:hAnsi="Arial" w:cs="Arial"/>
                          <w:color w:val="000000"/>
                          <w:sz w:val="24"/>
                          <w:szCs w:val="24"/>
                          <w:lang w:eastAsia="en-GB"/>
                        </w:rPr>
                        <w:t>375</w:t>
                      </w:r>
                      <w:r w:rsidRPr="00EE065B">
                        <w:rPr>
                          <w:rFonts w:ascii="Arial" w:eastAsia="Times New Roman" w:hAnsi="Arial" w:cs="Arial"/>
                          <w:color w:val="000000"/>
                          <w:sz w:val="24"/>
                          <w:szCs w:val="24"/>
                          <w:lang w:eastAsia="en-GB"/>
                        </w:rPr>
                        <w:t>. Thi</w:t>
                      </w:r>
                      <w:r>
                        <w:rPr>
                          <w:rFonts w:ascii="Arial" w:eastAsia="Times New Roman" w:hAnsi="Arial" w:cs="Arial"/>
                          <w:color w:val="000000"/>
                          <w:sz w:val="24"/>
                          <w:szCs w:val="24"/>
                          <w:lang w:eastAsia="en-GB"/>
                        </w:rPr>
                        <w:t xml:space="preserve">s will </w:t>
                      </w:r>
                      <w:proofErr w:type="gramStart"/>
                      <w:r>
                        <w:rPr>
                          <w:rFonts w:ascii="Arial" w:eastAsia="Times New Roman" w:hAnsi="Arial" w:cs="Arial"/>
                          <w:color w:val="000000"/>
                          <w:sz w:val="24"/>
                          <w:szCs w:val="24"/>
                          <w:lang w:eastAsia="en-GB"/>
                        </w:rPr>
                        <w:t>impact</w:t>
                      </w:r>
                      <w:proofErr w:type="gramEnd"/>
                      <w:r>
                        <w:rPr>
                          <w:rFonts w:ascii="Arial" w:eastAsia="Times New Roman" w:hAnsi="Arial" w:cs="Arial"/>
                          <w:color w:val="000000"/>
                          <w:sz w:val="24"/>
                          <w:szCs w:val="24"/>
                          <w:lang w:eastAsia="en-GB"/>
                        </w:rPr>
                        <w:t xml:space="preserve"> the data results. (</w:t>
                      </w:r>
                      <w:r w:rsidRPr="001108D9">
                        <w:rPr>
                          <w:rFonts w:ascii="Arial" w:eastAsia="Times New Roman" w:hAnsi="Arial" w:cs="Arial"/>
                          <w:i/>
                          <w:color w:val="000000"/>
                          <w:sz w:val="24"/>
                          <w:szCs w:val="24"/>
                          <w:lang w:eastAsia="en-GB"/>
                        </w:rPr>
                        <w:t xml:space="preserve">Last year the </w:t>
                      </w:r>
                      <w:proofErr w:type="gramStart"/>
                      <w:r w:rsidRPr="001108D9">
                        <w:rPr>
                          <w:rFonts w:ascii="Arial" w:eastAsia="Times New Roman" w:hAnsi="Arial" w:cs="Arial"/>
                          <w:i/>
                          <w:color w:val="000000"/>
                          <w:sz w:val="24"/>
                          <w:szCs w:val="24"/>
                          <w:lang w:eastAsia="en-GB"/>
                        </w:rPr>
                        <w:t>2</w:t>
                      </w:r>
                      <w:proofErr w:type="gramEnd"/>
                      <w:r w:rsidRPr="001108D9">
                        <w:rPr>
                          <w:rFonts w:ascii="Arial" w:eastAsia="Times New Roman" w:hAnsi="Arial" w:cs="Arial"/>
                          <w:i/>
                          <w:color w:val="000000"/>
                          <w:sz w:val="24"/>
                          <w:szCs w:val="24"/>
                          <w:lang w:eastAsia="en-GB"/>
                        </w:rPr>
                        <w:t xml:space="preserve"> figures were 9546 and 8273</w:t>
                      </w:r>
                      <w:r>
                        <w:rPr>
                          <w:rFonts w:ascii="Arial" w:eastAsia="Times New Roman" w:hAnsi="Arial" w:cs="Arial"/>
                          <w:color w:val="000000"/>
                          <w:sz w:val="24"/>
                          <w:szCs w:val="24"/>
                          <w:lang w:eastAsia="en-GB"/>
                        </w:rPr>
                        <w:t>).</w:t>
                      </w:r>
                    </w:p>
                  </w:txbxContent>
                </v:textbox>
                <w10:wrap type="square" anchorx="margin"/>
              </v:shape>
            </w:pict>
          </mc:Fallback>
        </mc:AlternateContent>
      </w:r>
      <w:r>
        <w:rPr>
          <w:rFonts w:ascii="Arial" w:hAnsi="Arial" w:cs="Arial"/>
          <w:color w:val="auto"/>
          <w:highlight w:val="lightGray"/>
        </w:rPr>
        <w:t xml:space="preserve">BONUS </w:t>
      </w:r>
      <w:r w:rsidRPr="00861460">
        <w:rPr>
          <w:rFonts w:ascii="Arial" w:hAnsi="Arial" w:cs="Arial"/>
          <w:color w:val="auto"/>
          <w:highlight w:val="lightGray"/>
        </w:rPr>
        <w:t>Pay Gap - Mean and Median Results for 2021 data</w:t>
      </w:r>
    </w:p>
    <w:p w:rsidR="009A403E" w:rsidRDefault="009A403E" w:rsidP="009A403E">
      <w:pPr>
        <w:rPr>
          <w:lang w:eastAsia="en-GB"/>
        </w:rP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000" w:firstRow="0" w:lastRow="0" w:firstColumn="0" w:lastColumn="0" w:noHBand="0" w:noVBand="0"/>
      </w:tblPr>
      <w:tblGrid>
        <w:gridCol w:w="2268"/>
        <w:gridCol w:w="2268"/>
      </w:tblGrid>
      <w:tr w:rsidR="00924B7D" w:rsidTr="00096175">
        <w:trPr>
          <w:trHeight w:val="1427"/>
        </w:trPr>
        <w:tc>
          <w:tcPr>
            <w:tcW w:w="2268" w:type="dxa"/>
            <w:shd w:val="clear" w:color="auto" w:fill="8DB3E2" w:themeFill="text2" w:themeFillTint="66"/>
          </w:tcPr>
          <w:p w:rsidR="00924B7D" w:rsidRPr="001E0F58" w:rsidRDefault="00924B7D" w:rsidP="00096175">
            <w:pPr>
              <w:spacing w:before="240" w:after="0" w:line="240" w:lineRule="auto"/>
              <w:jc w:val="center"/>
              <w:rPr>
                <w:rFonts w:ascii="Arial" w:hAnsi="Arial" w:cs="Arial"/>
                <w:b/>
                <w:sz w:val="24"/>
                <w:szCs w:val="24"/>
              </w:rPr>
            </w:pPr>
            <w:r w:rsidRPr="001E0F58">
              <w:rPr>
                <w:rFonts w:ascii="Arial" w:hAnsi="Arial" w:cs="Arial"/>
                <w:b/>
                <w:sz w:val="24"/>
                <w:szCs w:val="24"/>
              </w:rPr>
              <w:t xml:space="preserve">MEAN / Average </w:t>
            </w:r>
          </w:p>
          <w:p w:rsidR="00924B7D" w:rsidRPr="001E0F58" w:rsidRDefault="00B9775A" w:rsidP="00096175">
            <w:pPr>
              <w:spacing w:line="240" w:lineRule="auto"/>
              <w:jc w:val="center"/>
              <w:rPr>
                <w:rFonts w:ascii="Arial" w:hAnsi="Arial" w:cs="Arial"/>
                <w:b/>
                <w:sz w:val="24"/>
                <w:szCs w:val="24"/>
              </w:rPr>
            </w:pPr>
            <w:r w:rsidRPr="001E0F58">
              <w:rPr>
                <w:rFonts w:ascii="Arial" w:hAnsi="Arial" w:cs="Arial"/>
                <w:b/>
                <w:sz w:val="24"/>
                <w:szCs w:val="24"/>
              </w:rPr>
              <w:t xml:space="preserve">BONUS </w:t>
            </w:r>
            <w:r w:rsidR="00924B7D" w:rsidRPr="001E0F58">
              <w:rPr>
                <w:rFonts w:ascii="Arial" w:hAnsi="Arial" w:cs="Arial"/>
                <w:b/>
                <w:sz w:val="24"/>
                <w:szCs w:val="24"/>
              </w:rPr>
              <w:t>PAY GAP</w:t>
            </w:r>
          </w:p>
          <w:p w:rsidR="00924B7D" w:rsidRPr="001E0F58" w:rsidRDefault="001E0F58" w:rsidP="001E0F58">
            <w:pPr>
              <w:spacing w:before="240" w:line="240" w:lineRule="auto"/>
              <w:jc w:val="center"/>
              <w:rPr>
                <w:rFonts w:ascii="Arial" w:hAnsi="Arial" w:cs="Arial"/>
                <w:b/>
                <w:sz w:val="24"/>
                <w:szCs w:val="24"/>
              </w:rPr>
            </w:pPr>
            <w:r w:rsidRPr="001E0F58">
              <w:rPr>
                <w:rFonts w:ascii="Arial" w:hAnsi="Arial" w:cs="Arial"/>
                <w:b/>
                <w:sz w:val="24"/>
                <w:szCs w:val="24"/>
              </w:rPr>
              <w:t>19.04</w:t>
            </w:r>
            <w:r w:rsidR="00B9775A" w:rsidRPr="001E0F58">
              <w:rPr>
                <w:rFonts w:ascii="Arial" w:hAnsi="Arial" w:cs="Arial"/>
                <w:b/>
                <w:sz w:val="24"/>
                <w:szCs w:val="24"/>
              </w:rPr>
              <w:t>%</w:t>
            </w:r>
          </w:p>
        </w:tc>
        <w:tc>
          <w:tcPr>
            <w:tcW w:w="2268" w:type="dxa"/>
            <w:shd w:val="clear" w:color="auto" w:fill="8DB3E2" w:themeFill="text2" w:themeFillTint="66"/>
          </w:tcPr>
          <w:p w:rsidR="00924B7D" w:rsidRPr="001E0F58" w:rsidRDefault="00924B7D" w:rsidP="00096175">
            <w:pPr>
              <w:spacing w:before="240" w:after="0" w:line="240" w:lineRule="auto"/>
              <w:jc w:val="center"/>
              <w:rPr>
                <w:rFonts w:ascii="Arial" w:hAnsi="Arial" w:cs="Arial"/>
                <w:b/>
                <w:sz w:val="24"/>
                <w:szCs w:val="24"/>
              </w:rPr>
            </w:pPr>
            <w:r w:rsidRPr="001E0F58">
              <w:rPr>
                <w:rFonts w:ascii="Arial" w:hAnsi="Arial" w:cs="Arial"/>
                <w:b/>
                <w:sz w:val="24"/>
                <w:szCs w:val="24"/>
              </w:rPr>
              <w:t xml:space="preserve">MEDIAN </w:t>
            </w:r>
          </w:p>
          <w:p w:rsidR="00924B7D" w:rsidRPr="001E0F58" w:rsidRDefault="00B9775A" w:rsidP="00096175">
            <w:pPr>
              <w:spacing w:line="240" w:lineRule="auto"/>
              <w:jc w:val="center"/>
              <w:rPr>
                <w:rFonts w:ascii="Arial" w:hAnsi="Arial" w:cs="Arial"/>
                <w:b/>
                <w:sz w:val="24"/>
                <w:szCs w:val="24"/>
              </w:rPr>
            </w:pPr>
            <w:r w:rsidRPr="001E0F58">
              <w:rPr>
                <w:rFonts w:ascii="Arial" w:hAnsi="Arial" w:cs="Arial"/>
                <w:b/>
                <w:sz w:val="24"/>
                <w:szCs w:val="24"/>
              </w:rPr>
              <w:t xml:space="preserve">BONUS </w:t>
            </w:r>
            <w:r w:rsidR="00924B7D" w:rsidRPr="001E0F58">
              <w:rPr>
                <w:rFonts w:ascii="Arial" w:hAnsi="Arial" w:cs="Arial"/>
                <w:b/>
                <w:sz w:val="24"/>
                <w:szCs w:val="24"/>
              </w:rPr>
              <w:t>PAY</w:t>
            </w:r>
            <w:r w:rsidR="00096175" w:rsidRPr="001E0F58">
              <w:rPr>
                <w:rFonts w:ascii="Arial" w:hAnsi="Arial" w:cs="Arial"/>
                <w:b/>
                <w:sz w:val="24"/>
                <w:szCs w:val="24"/>
              </w:rPr>
              <w:t xml:space="preserve"> </w:t>
            </w:r>
            <w:r w:rsidR="00924B7D" w:rsidRPr="001E0F58">
              <w:rPr>
                <w:rFonts w:ascii="Arial" w:hAnsi="Arial" w:cs="Arial"/>
                <w:b/>
                <w:sz w:val="24"/>
                <w:szCs w:val="24"/>
              </w:rPr>
              <w:t>GAP</w:t>
            </w:r>
          </w:p>
          <w:p w:rsidR="00924B7D" w:rsidRPr="001E0F58" w:rsidRDefault="00B9775A" w:rsidP="00096175">
            <w:pPr>
              <w:spacing w:before="240" w:line="240" w:lineRule="auto"/>
              <w:jc w:val="center"/>
              <w:rPr>
                <w:rFonts w:ascii="Arial" w:hAnsi="Arial" w:cs="Arial"/>
                <w:b/>
                <w:sz w:val="24"/>
                <w:szCs w:val="24"/>
              </w:rPr>
            </w:pPr>
            <w:r w:rsidRPr="001E0F58">
              <w:rPr>
                <w:rFonts w:ascii="Arial" w:hAnsi="Arial" w:cs="Arial"/>
                <w:b/>
                <w:sz w:val="24"/>
                <w:szCs w:val="24"/>
              </w:rPr>
              <w:t>33.33</w:t>
            </w:r>
            <w:r w:rsidR="00924B7D" w:rsidRPr="001E0F58">
              <w:rPr>
                <w:rFonts w:ascii="Arial" w:hAnsi="Arial" w:cs="Arial"/>
                <w:b/>
                <w:sz w:val="24"/>
                <w:szCs w:val="24"/>
              </w:rPr>
              <w:t>%</w:t>
            </w:r>
          </w:p>
        </w:tc>
      </w:tr>
    </w:tbl>
    <w:p w:rsidR="009A403E" w:rsidRDefault="009A403E" w:rsidP="00096175">
      <w:pPr>
        <w:spacing w:before="240"/>
        <w:rPr>
          <w:rFonts w:ascii="Arial" w:hAnsi="Arial" w:cs="Arial"/>
          <w:b/>
          <w:lang w:eastAsia="en-GB"/>
        </w:rPr>
      </w:pPr>
      <w:r w:rsidRPr="00096175">
        <w:rPr>
          <w:rFonts w:ascii="Arial" w:hAnsi="Arial" w:cs="Arial"/>
          <w:b/>
          <w:lang w:eastAsia="en-GB"/>
        </w:rPr>
        <w:t xml:space="preserve">EMPLOYEES PAID A BONUS MALE / FEMALE – and THE BONUS PAY GAP </w:t>
      </w:r>
      <w:r w:rsidR="001108D9">
        <w:rPr>
          <w:rStyle w:val="FootnoteReference"/>
          <w:rFonts w:ascii="Arial" w:hAnsi="Arial" w:cs="Arial"/>
          <w:b/>
          <w:lang w:eastAsia="en-GB"/>
        </w:rPr>
        <w:footnoteReference w:id="3"/>
      </w:r>
    </w:p>
    <w:tbl>
      <w:tblPr>
        <w:tblW w:w="9072" w:type="dxa"/>
        <w:tblInd w:w="-10" w:type="dxa"/>
        <w:tblLayout w:type="fixed"/>
        <w:tblLook w:val="04A0" w:firstRow="1" w:lastRow="0" w:firstColumn="1" w:lastColumn="0" w:noHBand="0" w:noVBand="1"/>
      </w:tblPr>
      <w:tblGrid>
        <w:gridCol w:w="2268"/>
        <w:gridCol w:w="2693"/>
        <w:gridCol w:w="2977"/>
        <w:gridCol w:w="1134"/>
      </w:tblGrid>
      <w:tr w:rsidR="004F69FE" w:rsidRPr="00096175" w:rsidTr="001E0F58">
        <w:trPr>
          <w:trHeight w:val="320"/>
        </w:trPr>
        <w:tc>
          <w:tcPr>
            <w:tcW w:w="9072" w:type="dxa"/>
            <w:gridSpan w:val="4"/>
            <w:tcBorders>
              <w:top w:val="single" w:sz="8" w:space="0" w:color="auto"/>
              <w:left w:val="single" w:sz="8" w:space="0" w:color="auto"/>
              <w:bottom w:val="single" w:sz="8" w:space="0" w:color="auto"/>
              <w:right w:val="single" w:sz="8" w:space="0" w:color="000000"/>
            </w:tcBorders>
            <w:shd w:val="clear" w:color="000000" w:fill="9BC2E6"/>
            <w:vAlign w:val="center"/>
            <w:hideMark/>
          </w:tcPr>
          <w:p w:rsidR="004F69FE" w:rsidRPr="00096175" w:rsidRDefault="004F69FE" w:rsidP="004F69FE">
            <w:pPr>
              <w:spacing w:after="0" w:line="240" w:lineRule="auto"/>
              <w:rPr>
                <w:rFonts w:ascii="Arial" w:eastAsia="Times New Roman" w:hAnsi="Arial" w:cs="Arial"/>
                <w:b/>
                <w:bCs/>
                <w:color w:val="000000"/>
                <w:lang w:eastAsia="en-GB"/>
              </w:rPr>
            </w:pPr>
            <w:r w:rsidRPr="00096175">
              <w:rPr>
                <w:rFonts w:ascii="Arial" w:eastAsia="Times New Roman" w:hAnsi="Arial" w:cs="Arial"/>
                <w:b/>
                <w:bCs/>
                <w:color w:val="000000"/>
                <w:lang w:eastAsia="en-GB"/>
              </w:rPr>
              <w:t xml:space="preserve">Bonus </w:t>
            </w:r>
            <w:r w:rsidR="009A403E" w:rsidRPr="00096175">
              <w:rPr>
                <w:rFonts w:ascii="Arial" w:eastAsia="Times New Roman" w:hAnsi="Arial" w:cs="Arial"/>
                <w:b/>
                <w:bCs/>
                <w:color w:val="000000"/>
                <w:lang w:eastAsia="en-GB"/>
              </w:rPr>
              <w:t xml:space="preserve">- </w:t>
            </w:r>
            <w:r w:rsidRPr="00096175">
              <w:rPr>
                <w:rFonts w:ascii="Arial" w:eastAsia="Times New Roman" w:hAnsi="Arial" w:cs="Arial"/>
                <w:b/>
                <w:bCs/>
                <w:color w:val="000000"/>
                <w:lang w:eastAsia="en-GB"/>
              </w:rPr>
              <w:t>Employees</w:t>
            </w:r>
          </w:p>
        </w:tc>
      </w:tr>
      <w:tr w:rsidR="009A403E" w:rsidRPr="00096175" w:rsidTr="001E0F58">
        <w:trPr>
          <w:trHeight w:val="235"/>
        </w:trPr>
        <w:tc>
          <w:tcPr>
            <w:tcW w:w="2268" w:type="dxa"/>
            <w:tcBorders>
              <w:top w:val="nil"/>
              <w:left w:val="single" w:sz="8" w:space="0" w:color="auto"/>
              <w:bottom w:val="single" w:sz="8" w:space="0" w:color="auto"/>
              <w:right w:val="single" w:sz="8" w:space="0" w:color="auto"/>
            </w:tcBorders>
            <w:shd w:val="clear" w:color="000000" w:fill="9BC2E6"/>
            <w:vAlign w:val="center"/>
            <w:hideMark/>
          </w:tcPr>
          <w:p w:rsidR="004F69FE" w:rsidRPr="00096175" w:rsidRDefault="004F69FE" w:rsidP="004F69FE">
            <w:pPr>
              <w:spacing w:after="0" w:line="240" w:lineRule="auto"/>
              <w:rPr>
                <w:rFonts w:ascii="Arial" w:eastAsia="Times New Roman" w:hAnsi="Arial" w:cs="Arial"/>
                <w:b/>
                <w:bCs/>
                <w:color w:val="000000"/>
                <w:lang w:eastAsia="en-GB"/>
              </w:rPr>
            </w:pPr>
            <w:r w:rsidRPr="00096175">
              <w:rPr>
                <w:rFonts w:ascii="Arial" w:eastAsia="Times New Roman" w:hAnsi="Arial" w:cs="Arial"/>
                <w:b/>
                <w:bCs/>
                <w:color w:val="000000"/>
                <w:lang w:eastAsia="en-GB"/>
              </w:rPr>
              <w:t>Gender</w:t>
            </w:r>
          </w:p>
        </w:tc>
        <w:tc>
          <w:tcPr>
            <w:tcW w:w="2693" w:type="dxa"/>
            <w:tcBorders>
              <w:top w:val="nil"/>
              <w:left w:val="nil"/>
              <w:bottom w:val="single" w:sz="8" w:space="0" w:color="auto"/>
              <w:right w:val="single" w:sz="8" w:space="0" w:color="auto"/>
            </w:tcBorders>
            <w:shd w:val="clear" w:color="000000" w:fill="9BC2E6"/>
            <w:vAlign w:val="center"/>
            <w:hideMark/>
          </w:tcPr>
          <w:p w:rsidR="004F69FE" w:rsidRPr="00096175" w:rsidRDefault="004F69FE" w:rsidP="004F69FE">
            <w:pPr>
              <w:spacing w:after="0" w:line="240" w:lineRule="auto"/>
              <w:jc w:val="center"/>
              <w:rPr>
                <w:rFonts w:ascii="Arial" w:eastAsia="Times New Roman" w:hAnsi="Arial" w:cs="Arial"/>
                <w:b/>
                <w:bCs/>
                <w:color w:val="000000"/>
                <w:lang w:eastAsia="en-GB"/>
              </w:rPr>
            </w:pPr>
            <w:r w:rsidRPr="00096175">
              <w:rPr>
                <w:rFonts w:ascii="Arial" w:eastAsia="Times New Roman" w:hAnsi="Arial" w:cs="Arial"/>
                <w:b/>
                <w:bCs/>
                <w:color w:val="000000"/>
                <w:lang w:eastAsia="en-GB"/>
              </w:rPr>
              <w:t>Employees Paid Bonus</w:t>
            </w:r>
          </w:p>
        </w:tc>
        <w:tc>
          <w:tcPr>
            <w:tcW w:w="2977" w:type="dxa"/>
            <w:tcBorders>
              <w:top w:val="nil"/>
              <w:left w:val="nil"/>
              <w:bottom w:val="single" w:sz="8" w:space="0" w:color="auto"/>
              <w:right w:val="single" w:sz="8" w:space="0" w:color="auto"/>
            </w:tcBorders>
            <w:shd w:val="clear" w:color="000000" w:fill="9BC2E6"/>
            <w:vAlign w:val="center"/>
            <w:hideMark/>
          </w:tcPr>
          <w:p w:rsidR="004F69FE" w:rsidRPr="00096175" w:rsidRDefault="004F69FE" w:rsidP="004F69FE">
            <w:pPr>
              <w:spacing w:after="0" w:line="240" w:lineRule="auto"/>
              <w:jc w:val="center"/>
              <w:rPr>
                <w:rFonts w:ascii="Arial" w:eastAsia="Times New Roman" w:hAnsi="Arial" w:cs="Arial"/>
                <w:b/>
                <w:bCs/>
                <w:color w:val="000000"/>
                <w:lang w:eastAsia="en-GB"/>
              </w:rPr>
            </w:pPr>
            <w:r w:rsidRPr="00096175">
              <w:rPr>
                <w:rFonts w:ascii="Arial" w:eastAsia="Times New Roman" w:hAnsi="Arial" w:cs="Arial"/>
                <w:b/>
                <w:bCs/>
                <w:color w:val="000000"/>
                <w:lang w:eastAsia="en-GB"/>
              </w:rPr>
              <w:t>Total Relevant Employees</w:t>
            </w:r>
          </w:p>
        </w:tc>
        <w:tc>
          <w:tcPr>
            <w:tcW w:w="1134" w:type="dxa"/>
            <w:tcBorders>
              <w:top w:val="nil"/>
              <w:left w:val="nil"/>
              <w:bottom w:val="single" w:sz="8" w:space="0" w:color="auto"/>
              <w:right w:val="single" w:sz="8" w:space="0" w:color="auto"/>
            </w:tcBorders>
            <w:shd w:val="clear" w:color="000000" w:fill="9BC2E6"/>
            <w:vAlign w:val="center"/>
            <w:hideMark/>
          </w:tcPr>
          <w:p w:rsidR="004F69FE" w:rsidRPr="00096175" w:rsidRDefault="004F69FE" w:rsidP="004F69FE">
            <w:pPr>
              <w:spacing w:after="0" w:line="240" w:lineRule="auto"/>
              <w:jc w:val="center"/>
              <w:rPr>
                <w:rFonts w:ascii="Arial" w:eastAsia="Times New Roman" w:hAnsi="Arial" w:cs="Arial"/>
                <w:b/>
                <w:bCs/>
                <w:color w:val="000000"/>
                <w:lang w:eastAsia="en-GB"/>
              </w:rPr>
            </w:pPr>
            <w:r w:rsidRPr="00096175">
              <w:rPr>
                <w:rFonts w:ascii="Arial" w:eastAsia="Times New Roman" w:hAnsi="Arial" w:cs="Arial"/>
                <w:b/>
                <w:bCs/>
                <w:color w:val="000000"/>
                <w:lang w:eastAsia="en-GB"/>
              </w:rPr>
              <w:t>%</w:t>
            </w:r>
          </w:p>
        </w:tc>
      </w:tr>
      <w:tr w:rsidR="009A403E" w:rsidRPr="00096175" w:rsidTr="001E0F58">
        <w:trPr>
          <w:trHeight w:val="111"/>
        </w:trPr>
        <w:tc>
          <w:tcPr>
            <w:tcW w:w="2268" w:type="dxa"/>
            <w:tcBorders>
              <w:top w:val="nil"/>
              <w:left w:val="single" w:sz="8" w:space="0" w:color="auto"/>
              <w:bottom w:val="single" w:sz="8" w:space="0" w:color="auto"/>
              <w:right w:val="single" w:sz="8" w:space="0" w:color="auto"/>
            </w:tcBorders>
            <w:shd w:val="clear" w:color="000000" w:fill="9BC2E6"/>
            <w:vAlign w:val="center"/>
            <w:hideMark/>
          </w:tcPr>
          <w:p w:rsidR="004F69FE" w:rsidRPr="00096175" w:rsidRDefault="004F69FE" w:rsidP="004F69FE">
            <w:pPr>
              <w:spacing w:after="0" w:line="240" w:lineRule="auto"/>
              <w:rPr>
                <w:rFonts w:ascii="Arial" w:eastAsia="Times New Roman" w:hAnsi="Arial" w:cs="Arial"/>
                <w:b/>
                <w:bCs/>
                <w:color w:val="000000"/>
                <w:lang w:eastAsia="en-GB"/>
              </w:rPr>
            </w:pPr>
            <w:r w:rsidRPr="00096175">
              <w:rPr>
                <w:rFonts w:ascii="Arial" w:eastAsia="Times New Roman" w:hAnsi="Arial" w:cs="Arial"/>
                <w:b/>
                <w:bCs/>
                <w:color w:val="000000"/>
                <w:lang w:eastAsia="en-GB"/>
              </w:rPr>
              <w:t>Female</w:t>
            </w:r>
          </w:p>
        </w:tc>
        <w:tc>
          <w:tcPr>
            <w:tcW w:w="2693" w:type="dxa"/>
            <w:tcBorders>
              <w:top w:val="nil"/>
              <w:left w:val="nil"/>
              <w:bottom w:val="single" w:sz="8" w:space="0" w:color="auto"/>
              <w:right w:val="single" w:sz="8" w:space="0" w:color="auto"/>
            </w:tcBorders>
            <w:shd w:val="clear" w:color="000000" w:fill="FFFFFF"/>
            <w:vAlign w:val="center"/>
            <w:hideMark/>
          </w:tcPr>
          <w:p w:rsidR="004F69FE" w:rsidRPr="00096175" w:rsidRDefault="004F69FE" w:rsidP="004F69FE">
            <w:pPr>
              <w:spacing w:after="0" w:line="240" w:lineRule="auto"/>
              <w:jc w:val="center"/>
              <w:rPr>
                <w:rFonts w:ascii="Arial" w:eastAsia="Times New Roman" w:hAnsi="Arial" w:cs="Arial"/>
                <w:color w:val="000000"/>
                <w:lang w:eastAsia="en-GB"/>
              </w:rPr>
            </w:pPr>
            <w:r w:rsidRPr="00096175">
              <w:rPr>
                <w:rFonts w:ascii="Arial" w:eastAsia="Times New Roman" w:hAnsi="Arial" w:cs="Arial"/>
                <w:color w:val="000000"/>
                <w:lang w:eastAsia="en-GB"/>
              </w:rPr>
              <w:t>47</w:t>
            </w:r>
          </w:p>
        </w:tc>
        <w:tc>
          <w:tcPr>
            <w:tcW w:w="2977" w:type="dxa"/>
            <w:tcBorders>
              <w:top w:val="single" w:sz="8" w:space="0" w:color="auto"/>
              <w:left w:val="nil"/>
              <w:bottom w:val="single" w:sz="8" w:space="0" w:color="auto"/>
              <w:right w:val="single" w:sz="8" w:space="0" w:color="auto"/>
            </w:tcBorders>
            <w:shd w:val="clear" w:color="000000" w:fill="auto"/>
            <w:vAlign w:val="center"/>
            <w:hideMark/>
          </w:tcPr>
          <w:p w:rsidR="004F69FE" w:rsidRPr="00096175" w:rsidRDefault="000D2777" w:rsidP="000D277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7670</w:t>
            </w:r>
          </w:p>
        </w:tc>
        <w:tc>
          <w:tcPr>
            <w:tcW w:w="1134" w:type="dxa"/>
            <w:tcBorders>
              <w:top w:val="nil"/>
              <w:left w:val="nil"/>
              <w:bottom w:val="single" w:sz="8" w:space="0" w:color="auto"/>
              <w:right w:val="single" w:sz="8" w:space="0" w:color="auto"/>
            </w:tcBorders>
            <w:shd w:val="clear" w:color="000000" w:fill="FFFFFF"/>
            <w:vAlign w:val="center"/>
            <w:hideMark/>
          </w:tcPr>
          <w:p w:rsidR="004F69FE" w:rsidRPr="00096175" w:rsidRDefault="004F69FE" w:rsidP="004F69FE">
            <w:pPr>
              <w:spacing w:after="0" w:line="240" w:lineRule="auto"/>
              <w:jc w:val="center"/>
              <w:rPr>
                <w:rFonts w:ascii="Arial" w:eastAsia="Times New Roman" w:hAnsi="Arial" w:cs="Arial"/>
                <w:color w:val="000000"/>
                <w:lang w:eastAsia="en-GB"/>
              </w:rPr>
            </w:pPr>
            <w:r w:rsidRPr="00096175">
              <w:rPr>
                <w:rFonts w:ascii="Arial" w:eastAsia="Times New Roman" w:hAnsi="Arial" w:cs="Arial"/>
                <w:color w:val="000000"/>
                <w:lang w:eastAsia="en-GB"/>
              </w:rPr>
              <w:t>0</w:t>
            </w:r>
            <w:r w:rsidR="000D2777">
              <w:rPr>
                <w:rFonts w:ascii="Arial" w:eastAsia="Times New Roman" w:hAnsi="Arial" w:cs="Arial"/>
                <w:color w:val="000000"/>
                <w:lang w:eastAsia="en-GB"/>
              </w:rPr>
              <w:t>.61</w:t>
            </w:r>
            <w:r w:rsidRPr="00096175">
              <w:rPr>
                <w:rFonts w:ascii="Arial" w:eastAsia="Times New Roman" w:hAnsi="Arial" w:cs="Arial"/>
                <w:color w:val="000000"/>
                <w:lang w:eastAsia="en-GB"/>
              </w:rPr>
              <w:t>%</w:t>
            </w:r>
          </w:p>
        </w:tc>
      </w:tr>
      <w:tr w:rsidR="009A403E" w:rsidRPr="00096175" w:rsidTr="001E0F58">
        <w:trPr>
          <w:trHeight w:val="259"/>
        </w:trPr>
        <w:tc>
          <w:tcPr>
            <w:tcW w:w="2268" w:type="dxa"/>
            <w:tcBorders>
              <w:top w:val="nil"/>
              <w:left w:val="single" w:sz="8" w:space="0" w:color="auto"/>
              <w:bottom w:val="single" w:sz="8" w:space="0" w:color="auto"/>
              <w:right w:val="single" w:sz="8" w:space="0" w:color="auto"/>
            </w:tcBorders>
            <w:shd w:val="clear" w:color="000000" w:fill="9BC2E6"/>
            <w:vAlign w:val="center"/>
            <w:hideMark/>
          </w:tcPr>
          <w:p w:rsidR="004F69FE" w:rsidRPr="00096175" w:rsidRDefault="004F69FE" w:rsidP="004F69FE">
            <w:pPr>
              <w:spacing w:after="0" w:line="240" w:lineRule="auto"/>
              <w:rPr>
                <w:rFonts w:ascii="Arial" w:eastAsia="Times New Roman" w:hAnsi="Arial" w:cs="Arial"/>
                <w:b/>
                <w:bCs/>
                <w:color w:val="000000"/>
                <w:lang w:eastAsia="en-GB"/>
              </w:rPr>
            </w:pPr>
            <w:r w:rsidRPr="00096175">
              <w:rPr>
                <w:rFonts w:ascii="Arial" w:eastAsia="Times New Roman" w:hAnsi="Arial" w:cs="Arial"/>
                <w:b/>
                <w:bCs/>
                <w:color w:val="000000"/>
                <w:lang w:eastAsia="en-GB"/>
              </w:rPr>
              <w:t>Male</w:t>
            </w:r>
          </w:p>
        </w:tc>
        <w:tc>
          <w:tcPr>
            <w:tcW w:w="2693" w:type="dxa"/>
            <w:tcBorders>
              <w:top w:val="nil"/>
              <w:left w:val="nil"/>
              <w:bottom w:val="single" w:sz="8" w:space="0" w:color="auto"/>
              <w:right w:val="single" w:sz="8" w:space="0" w:color="auto"/>
            </w:tcBorders>
            <w:shd w:val="clear" w:color="000000" w:fill="FFFFFF"/>
            <w:vAlign w:val="center"/>
            <w:hideMark/>
          </w:tcPr>
          <w:p w:rsidR="004F69FE" w:rsidRPr="00096175" w:rsidRDefault="000D2777" w:rsidP="004F69FE">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90</w:t>
            </w:r>
          </w:p>
        </w:tc>
        <w:tc>
          <w:tcPr>
            <w:tcW w:w="2977" w:type="dxa"/>
            <w:tcBorders>
              <w:top w:val="single" w:sz="8" w:space="0" w:color="auto"/>
              <w:left w:val="nil"/>
              <w:bottom w:val="single" w:sz="8" w:space="0" w:color="auto"/>
              <w:right w:val="single" w:sz="8" w:space="0" w:color="auto"/>
            </w:tcBorders>
            <w:shd w:val="clear" w:color="000000" w:fill="auto"/>
            <w:vAlign w:val="center"/>
            <w:hideMark/>
          </w:tcPr>
          <w:p w:rsidR="004F69FE" w:rsidRPr="00096175" w:rsidRDefault="004F69FE" w:rsidP="000D2777">
            <w:pPr>
              <w:spacing w:after="0" w:line="240" w:lineRule="auto"/>
              <w:jc w:val="center"/>
              <w:rPr>
                <w:rFonts w:ascii="Arial" w:eastAsia="Times New Roman" w:hAnsi="Arial" w:cs="Arial"/>
                <w:color w:val="000000"/>
                <w:lang w:eastAsia="en-GB"/>
              </w:rPr>
            </w:pPr>
            <w:r w:rsidRPr="00096175">
              <w:rPr>
                <w:rFonts w:ascii="Arial" w:eastAsia="Times New Roman" w:hAnsi="Arial" w:cs="Arial"/>
                <w:color w:val="000000"/>
                <w:lang w:eastAsia="en-GB"/>
              </w:rPr>
              <w:t>2</w:t>
            </w:r>
            <w:r w:rsidR="000D2777">
              <w:rPr>
                <w:rFonts w:ascii="Arial" w:eastAsia="Times New Roman" w:hAnsi="Arial" w:cs="Arial"/>
                <w:color w:val="000000"/>
                <w:lang w:eastAsia="en-GB"/>
              </w:rPr>
              <w:t>150</w:t>
            </w:r>
          </w:p>
        </w:tc>
        <w:tc>
          <w:tcPr>
            <w:tcW w:w="1134" w:type="dxa"/>
            <w:tcBorders>
              <w:top w:val="nil"/>
              <w:left w:val="nil"/>
              <w:bottom w:val="single" w:sz="8" w:space="0" w:color="auto"/>
              <w:right w:val="single" w:sz="8" w:space="0" w:color="auto"/>
            </w:tcBorders>
            <w:shd w:val="clear" w:color="000000" w:fill="FFFFFF"/>
            <w:vAlign w:val="center"/>
            <w:hideMark/>
          </w:tcPr>
          <w:p w:rsidR="004F69FE" w:rsidRPr="00096175" w:rsidRDefault="004F69FE" w:rsidP="000D2777">
            <w:pPr>
              <w:spacing w:after="0" w:line="240" w:lineRule="auto"/>
              <w:jc w:val="center"/>
              <w:rPr>
                <w:rFonts w:ascii="Arial" w:eastAsia="Times New Roman" w:hAnsi="Arial" w:cs="Arial"/>
                <w:color w:val="000000"/>
                <w:lang w:eastAsia="en-GB"/>
              </w:rPr>
            </w:pPr>
            <w:r w:rsidRPr="00096175">
              <w:rPr>
                <w:rFonts w:ascii="Arial" w:eastAsia="Times New Roman" w:hAnsi="Arial" w:cs="Arial"/>
                <w:color w:val="000000"/>
                <w:lang w:eastAsia="en-GB"/>
              </w:rPr>
              <w:t>4.</w:t>
            </w:r>
            <w:r w:rsidR="000D2777">
              <w:rPr>
                <w:rFonts w:ascii="Arial" w:eastAsia="Times New Roman" w:hAnsi="Arial" w:cs="Arial"/>
                <w:color w:val="000000"/>
                <w:lang w:eastAsia="en-GB"/>
              </w:rPr>
              <w:t>19</w:t>
            </w:r>
            <w:r w:rsidRPr="00096175">
              <w:rPr>
                <w:rFonts w:ascii="Arial" w:eastAsia="Times New Roman" w:hAnsi="Arial" w:cs="Arial"/>
                <w:color w:val="000000"/>
                <w:lang w:eastAsia="en-GB"/>
              </w:rPr>
              <w:t>%</w:t>
            </w:r>
          </w:p>
        </w:tc>
      </w:tr>
      <w:tr w:rsidR="009A403E" w:rsidRPr="00096175" w:rsidTr="001E0F58">
        <w:trPr>
          <w:trHeight w:val="207"/>
        </w:trPr>
        <w:tc>
          <w:tcPr>
            <w:tcW w:w="2268" w:type="dxa"/>
            <w:tcBorders>
              <w:top w:val="nil"/>
              <w:left w:val="single" w:sz="8" w:space="0" w:color="auto"/>
              <w:bottom w:val="single" w:sz="8" w:space="0" w:color="auto"/>
              <w:right w:val="single" w:sz="8" w:space="0" w:color="auto"/>
            </w:tcBorders>
            <w:shd w:val="clear" w:color="000000" w:fill="9BC2E6"/>
            <w:vAlign w:val="center"/>
            <w:hideMark/>
          </w:tcPr>
          <w:p w:rsidR="004F69FE" w:rsidRPr="00096175" w:rsidRDefault="004F69FE" w:rsidP="004F69FE">
            <w:pPr>
              <w:spacing w:after="0" w:line="240" w:lineRule="auto"/>
              <w:rPr>
                <w:rFonts w:ascii="Arial" w:eastAsia="Times New Roman" w:hAnsi="Arial" w:cs="Arial"/>
                <w:b/>
                <w:bCs/>
                <w:color w:val="000000"/>
                <w:lang w:eastAsia="en-GB"/>
              </w:rPr>
            </w:pPr>
            <w:r w:rsidRPr="00096175">
              <w:rPr>
                <w:rFonts w:ascii="Arial" w:eastAsia="Times New Roman" w:hAnsi="Arial" w:cs="Arial"/>
                <w:b/>
                <w:bCs/>
                <w:color w:val="000000"/>
                <w:lang w:eastAsia="en-GB"/>
              </w:rPr>
              <w:t>Overall</w:t>
            </w:r>
          </w:p>
        </w:tc>
        <w:tc>
          <w:tcPr>
            <w:tcW w:w="2693" w:type="dxa"/>
            <w:tcBorders>
              <w:top w:val="nil"/>
              <w:left w:val="nil"/>
              <w:bottom w:val="single" w:sz="8" w:space="0" w:color="auto"/>
              <w:right w:val="single" w:sz="8" w:space="0" w:color="auto"/>
            </w:tcBorders>
            <w:shd w:val="clear" w:color="auto" w:fill="auto"/>
            <w:noWrap/>
            <w:vAlign w:val="center"/>
            <w:hideMark/>
          </w:tcPr>
          <w:p w:rsidR="000D2777" w:rsidRPr="00096175" w:rsidRDefault="000D2777" w:rsidP="000D277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137</w:t>
            </w:r>
          </w:p>
        </w:tc>
        <w:tc>
          <w:tcPr>
            <w:tcW w:w="2977" w:type="dxa"/>
            <w:tcBorders>
              <w:top w:val="single" w:sz="8" w:space="0" w:color="auto"/>
              <w:left w:val="nil"/>
              <w:bottom w:val="single" w:sz="8" w:space="0" w:color="auto"/>
              <w:right w:val="single" w:sz="8" w:space="0" w:color="auto"/>
            </w:tcBorders>
            <w:shd w:val="clear" w:color="000000" w:fill="auto"/>
            <w:noWrap/>
            <w:vAlign w:val="center"/>
            <w:hideMark/>
          </w:tcPr>
          <w:p w:rsidR="004F69FE" w:rsidRPr="00096175" w:rsidRDefault="000D2777" w:rsidP="004F69F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9820</w:t>
            </w:r>
          </w:p>
        </w:tc>
        <w:tc>
          <w:tcPr>
            <w:tcW w:w="1134" w:type="dxa"/>
            <w:tcBorders>
              <w:top w:val="nil"/>
              <w:left w:val="nil"/>
              <w:bottom w:val="single" w:sz="8" w:space="0" w:color="auto"/>
              <w:right w:val="single" w:sz="8" w:space="0" w:color="auto"/>
            </w:tcBorders>
            <w:shd w:val="clear" w:color="000000" w:fill="FFFFFF"/>
            <w:vAlign w:val="center"/>
            <w:hideMark/>
          </w:tcPr>
          <w:p w:rsidR="004F69FE" w:rsidRPr="00096175" w:rsidRDefault="004F69FE" w:rsidP="000D2777">
            <w:pPr>
              <w:spacing w:after="0" w:line="240" w:lineRule="auto"/>
              <w:jc w:val="center"/>
              <w:rPr>
                <w:rFonts w:ascii="Arial" w:eastAsia="Times New Roman" w:hAnsi="Arial" w:cs="Arial"/>
                <w:b/>
                <w:bCs/>
                <w:color w:val="000000"/>
                <w:lang w:eastAsia="en-GB"/>
              </w:rPr>
            </w:pPr>
            <w:r w:rsidRPr="00096175">
              <w:rPr>
                <w:rFonts w:ascii="Arial" w:eastAsia="Times New Roman" w:hAnsi="Arial" w:cs="Arial"/>
                <w:b/>
                <w:bCs/>
                <w:color w:val="000000"/>
                <w:lang w:eastAsia="en-GB"/>
              </w:rPr>
              <w:t>1.</w:t>
            </w:r>
            <w:r w:rsidR="000D2777">
              <w:rPr>
                <w:rFonts w:ascii="Arial" w:eastAsia="Times New Roman" w:hAnsi="Arial" w:cs="Arial"/>
                <w:b/>
                <w:bCs/>
                <w:color w:val="000000"/>
                <w:lang w:eastAsia="en-GB"/>
              </w:rPr>
              <w:t>4</w:t>
            </w:r>
            <w:r w:rsidRPr="00096175">
              <w:rPr>
                <w:rFonts w:ascii="Arial" w:eastAsia="Times New Roman" w:hAnsi="Arial" w:cs="Arial"/>
                <w:b/>
                <w:bCs/>
                <w:color w:val="000000"/>
                <w:lang w:eastAsia="en-GB"/>
              </w:rPr>
              <w:t>0%</w:t>
            </w:r>
          </w:p>
        </w:tc>
      </w:tr>
      <w:tr w:rsidR="009D413A" w:rsidRPr="00096175" w:rsidTr="001E0F58">
        <w:trPr>
          <w:trHeight w:val="207"/>
        </w:trPr>
        <w:tc>
          <w:tcPr>
            <w:tcW w:w="2268" w:type="dxa"/>
            <w:tcBorders>
              <w:top w:val="single" w:sz="8" w:space="0" w:color="auto"/>
              <w:left w:val="single" w:sz="8" w:space="0" w:color="auto"/>
              <w:bottom w:val="single" w:sz="8" w:space="0" w:color="auto"/>
            </w:tcBorders>
            <w:shd w:val="clear" w:color="auto" w:fill="auto"/>
            <w:vAlign w:val="center"/>
          </w:tcPr>
          <w:p w:rsidR="009D413A" w:rsidRDefault="009D413A" w:rsidP="004F69FE">
            <w:pPr>
              <w:spacing w:after="0" w:line="240" w:lineRule="auto"/>
              <w:rPr>
                <w:rFonts w:ascii="Arial" w:eastAsia="Times New Roman" w:hAnsi="Arial" w:cs="Arial"/>
                <w:b/>
                <w:bCs/>
                <w:color w:val="000000"/>
                <w:lang w:eastAsia="en-GB"/>
              </w:rPr>
            </w:pPr>
          </w:p>
          <w:p w:rsidR="00C44EBC" w:rsidRPr="00096175" w:rsidRDefault="00C44EBC" w:rsidP="004F69FE">
            <w:pPr>
              <w:spacing w:after="0" w:line="240" w:lineRule="auto"/>
              <w:rPr>
                <w:rFonts w:ascii="Arial" w:eastAsia="Times New Roman" w:hAnsi="Arial" w:cs="Arial"/>
                <w:b/>
                <w:bCs/>
                <w:color w:val="000000"/>
                <w:lang w:eastAsia="en-GB"/>
              </w:rPr>
            </w:pPr>
          </w:p>
        </w:tc>
        <w:tc>
          <w:tcPr>
            <w:tcW w:w="2693" w:type="dxa"/>
            <w:tcBorders>
              <w:top w:val="single" w:sz="8" w:space="0" w:color="auto"/>
              <w:bottom w:val="single" w:sz="8" w:space="0" w:color="auto"/>
            </w:tcBorders>
            <w:shd w:val="clear" w:color="auto" w:fill="auto"/>
            <w:noWrap/>
            <w:vAlign w:val="center"/>
          </w:tcPr>
          <w:p w:rsidR="009D413A" w:rsidRPr="00096175" w:rsidRDefault="009D413A" w:rsidP="004F69FE">
            <w:pPr>
              <w:spacing w:after="0" w:line="240" w:lineRule="auto"/>
              <w:jc w:val="center"/>
              <w:rPr>
                <w:rFonts w:ascii="Arial" w:eastAsia="Times New Roman" w:hAnsi="Arial" w:cs="Arial"/>
                <w:b/>
                <w:bCs/>
                <w:color w:val="000000"/>
                <w:lang w:eastAsia="en-GB"/>
              </w:rPr>
            </w:pPr>
          </w:p>
        </w:tc>
        <w:tc>
          <w:tcPr>
            <w:tcW w:w="2977" w:type="dxa"/>
            <w:tcBorders>
              <w:top w:val="single" w:sz="8" w:space="0" w:color="auto"/>
              <w:bottom w:val="single" w:sz="8" w:space="0" w:color="auto"/>
            </w:tcBorders>
            <w:shd w:val="clear" w:color="auto" w:fill="auto"/>
            <w:noWrap/>
            <w:vAlign w:val="center"/>
          </w:tcPr>
          <w:p w:rsidR="009D413A" w:rsidRPr="00096175" w:rsidRDefault="009D413A" w:rsidP="004F69FE">
            <w:pPr>
              <w:spacing w:after="0" w:line="240" w:lineRule="auto"/>
              <w:jc w:val="center"/>
              <w:rPr>
                <w:rFonts w:ascii="Arial" w:eastAsia="Times New Roman" w:hAnsi="Arial" w:cs="Arial"/>
                <w:b/>
                <w:bCs/>
                <w:color w:val="000000"/>
                <w:lang w:eastAsia="en-GB"/>
              </w:rPr>
            </w:pPr>
          </w:p>
        </w:tc>
        <w:tc>
          <w:tcPr>
            <w:tcW w:w="1134" w:type="dxa"/>
            <w:tcBorders>
              <w:top w:val="single" w:sz="8" w:space="0" w:color="auto"/>
              <w:bottom w:val="single" w:sz="8" w:space="0" w:color="auto"/>
              <w:right w:val="single" w:sz="8" w:space="0" w:color="auto"/>
            </w:tcBorders>
            <w:shd w:val="clear" w:color="auto" w:fill="auto"/>
            <w:vAlign w:val="center"/>
          </w:tcPr>
          <w:p w:rsidR="009D413A" w:rsidRPr="00096175" w:rsidRDefault="009D413A" w:rsidP="004F69FE">
            <w:pPr>
              <w:spacing w:after="0" w:line="240" w:lineRule="auto"/>
              <w:jc w:val="center"/>
              <w:rPr>
                <w:rFonts w:ascii="Arial" w:eastAsia="Times New Roman" w:hAnsi="Arial" w:cs="Arial"/>
                <w:b/>
                <w:bCs/>
                <w:color w:val="000000"/>
                <w:lang w:eastAsia="en-GB"/>
              </w:rPr>
            </w:pPr>
          </w:p>
        </w:tc>
      </w:tr>
      <w:tr w:rsidR="009A403E" w:rsidRPr="00096175" w:rsidTr="001E0F58">
        <w:trPr>
          <w:trHeight w:val="57"/>
        </w:trPr>
        <w:tc>
          <w:tcPr>
            <w:tcW w:w="2268" w:type="dxa"/>
            <w:tcBorders>
              <w:top w:val="single" w:sz="8" w:space="0" w:color="auto"/>
              <w:left w:val="single" w:sz="8" w:space="0" w:color="auto"/>
              <w:bottom w:val="single" w:sz="8" w:space="0" w:color="auto"/>
              <w:right w:val="single" w:sz="8" w:space="0" w:color="auto"/>
            </w:tcBorders>
            <w:shd w:val="clear" w:color="000000" w:fill="9BC2E6"/>
            <w:vAlign w:val="center"/>
            <w:hideMark/>
          </w:tcPr>
          <w:p w:rsidR="004F69FE" w:rsidRPr="001E0F58" w:rsidRDefault="004F69FE" w:rsidP="004F69FE">
            <w:pPr>
              <w:spacing w:after="0" w:line="240" w:lineRule="auto"/>
              <w:rPr>
                <w:rFonts w:ascii="Arial" w:eastAsia="Times New Roman" w:hAnsi="Arial" w:cs="Arial"/>
                <w:b/>
                <w:bCs/>
                <w:lang w:eastAsia="en-GB"/>
              </w:rPr>
            </w:pPr>
            <w:r w:rsidRPr="001E0F58">
              <w:rPr>
                <w:rFonts w:ascii="Arial" w:eastAsia="Times New Roman" w:hAnsi="Arial" w:cs="Arial"/>
                <w:b/>
                <w:bCs/>
                <w:lang w:eastAsia="en-GB"/>
              </w:rPr>
              <w:t>Gender</w:t>
            </w:r>
          </w:p>
        </w:tc>
        <w:tc>
          <w:tcPr>
            <w:tcW w:w="2693" w:type="dxa"/>
            <w:tcBorders>
              <w:top w:val="single" w:sz="8" w:space="0" w:color="auto"/>
              <w:left w:val="nil"/>
              <w:bottom w:val="single" w:sz="8" w:space="0" w:color="auto"/>
              <w:right w:val="single" w:sz="8" w:space="0" w:color="auto"/>
            </w:tcBorders>
            <w:shd w:val="clear" w:color="000000" w:fill="9BC2E6"/>
            <w:vAlign w:val="center"/>
            <w:hideMark/>
          </w:tcPr>
          <w:p w:rsidR="004F69FE" w:rsidRPr="001E0F58" w:rsidRDefault="004F69FE" w:rsidP="004F69FE">
            <w:pPr>
              <w:spacing w:after="0" w:line="240" w:lineRule="auto"/>
              <w:jc w:val="center"/>
              <w:rPr>
                <w:rFonts w:ascii="Arial" w:eastAsia="Times New Roman" w:hAnsi="Arial" w:cs="Arial"/>
                <w:b/>
                <w:bCs/>
                <w:lang w:eastAsia="en-GB"/>
              </w:rPr>
            </w:pPr>
            <w:r w:rsidRPr="001E0F58">
              <w:rPr>
                <w:rFonts w:ascii="Arial" w:eastAsia="Times New Roman" w:hAnsi="Arial" w:cs="Arial"/>
                <w:b/>
                <w:bCs/>
                <w:lang w:eastAsia="en-GB"/>
              </w:rPr>
              <w:t>Average Bonus Pay</w:t>
            </w:r>
          </w:p>
        </w:tc>
        <w:tc>
          <w:tcPr>
            <w:tcW w:w="2977" w:type="dxa"/>
            <w:tcBorders>
              <w:top w:val="single" w:sz="8" w:space="0" w:color="auto"/>
              <w:left w:val="nil"/>
              <w:bottom w:val="single" w:sz="8" w:space="0" w:color="auto"/>
              <w:right w:val="single" w:sz="8" w:space="0" w:color="auto"/>
            </w:tcBorders>
            <w:shd w:val="clear" w:color="000000" w:fill="9BC2E6"/>
            <w:vAlign w:val="center"/>
            <w:hideMark/>
          </w:tcPr>
          <w:p w:rsidR="004F69FE" w:rsidRPr="001E0F58" w:rsidRDefault="004F69FE" w:rsidP="004F69FE">
            <w:pPr>
              <w:spacing w:after="0" w:line="240" w:lineRule="auto"/>
              <w:jc w:val="center"/>
              <w:rPr>
                <w:rFonts w:ascii="Arial" w:eastAsia="Times New Roman" w:hAnsi="Arial" w:cs="Arial"/>
                <w:b/>
                <w:bCs/>
                <w:lang w:eastAsia="en-GB"/>
              </w:rPr>
            </w:pPr>
            <w:r w:rsidRPr="001E0F58">
              <w:rPr>
                <w:rFonts w:ascii="Arial" w:eastAsia="Times New Roman" w:hAnsi="Arial" w:cs="Arial"/>
                <w:b/>
                <w:bCs/>
                <w:lang w:eastAsia="en-GB"/>
              </w:rPr>
              <w:t>Median Bonus Pay</w:t>
            </w:r>
          </w:p>
        </w:tc>
        <w:tc>
          <w:tcPr>
            <w:tcW w:w="1134" w:type="dxa"/>
            <w:tcBorders>
              <w:top w:val="nil"/>
              <w:left w:val="nil"/>
              <w:bottom w:val="nil"/>
              <w:right w:val="nil"/>
            </w:tcBorders>
            <w:shd w:val="clear" w:color="auto" w:fill="auto"/>
            <w:noWrap/>
            <w:vAlign w:val="bottom"/>
            <w:hideMark/>
          </w:tcPr>
          <w:p w:rsidR="004F69FE" w:rsidRPr="00096175" w:rsidRDefault="004F69FE" w:rsidP="004F69FE">
            <w:pPr>
              <w:spacing w:after="0" w:line="240" w:lineRule="auto"/>
              <w:jc w:val="center"/>
              <w:rPr>
                <w:rFonts w:ascii="Arial" w:eastAsia="Times New Roman" w:hAnsi="Arial" w:cs="Arial"/>
                <w:b/>
                <w:bCs/>
                <w:color w:val="000000"/>
                <w:lang w:eastAsia="en-GB"/>
              </w:rPr>
            </w:pPr>
          </w:p>
        </w:tc>
      </w:tr>
      <w:tr w:rsidR="009A403E" w:rsidRPr="00096175" w:rsidTr="001E0F58">
        <w:trPr>
          <w:trHeight w:val="235"/>
        </w:trPr>
        <w:tc>
          <w:tcPr>
            <w:tcW w:w="2268" w:type="dxa"/>
            <w:tcBorders>
              <w:top w:val="nil"/>
              <w:left w:val="single" w:sz="8" w:space="0" w:color="auto"/>
              <w:bottom w:val="single" w:sz="8" w:space="0" w:color="auto"/>
              <w:right w:val="single" w:sz="8" w:space="0" w:color="auto"/>
            </w:tcBorders>
            <w:shd w:val="clear" w:color="000000" w:fill="9BC2E6"/>
            <w:vAlign w:val="center"/>
            <w:hideMark/>
          </w:tcPr>
          <w:p w:rsidR="004F69FE" w:rsidRPr="001E0F58" w:rsidRDefault="004F69FE" w:rsidP="004F69FE">
            <w:pPr>
              <w:spacing w:after="0" w:line="240" w:lineRule="auto"/>
              <w:rPr>
                <w:rFonts w:ascii="Arial" w:eastAsia="Times New Roman" w:hAnsi="Arial" w:cs="Arial"/>
                <w:b/>
                <w:bCs/>
                <w:lang w:eastAsia="en-GB"/>
              </w:rPr>
            </w:pPr>
            <w:r w:rsidRPr="001E0F58">
              <w:rPr>
                <w:rFonts w:ascii="Arial" w:eastAsia="Times New Roman" w:hAnsi="Arial" w:cs="Arial"/>
                <w:b/>
                <w:bCs/>
                <w:lang w:eastAsia="en-GB"/>
              </w:rPr>
              <w:t>Female</w:t>
            </w:r>
          </w:p>
        </w:tc>
        <w:tc>
          <w:tcPr>
            <w:tcW w:w="2693" w:type="dxa"/>
            <w:tcBorders>
              <w:top w:val="nil"/>
              <w:left w:val="nil"/>
              <w:bottom w:val="single" w:sz="8" w:space="0" w:color="auto"/>
              <w:right w:val="single" w:sz="8" w:space="0" w:color="auto"/>
            </w:tcBorders>
            <w:shd w:val="clear" w:color="000000" w:fill="FFFFFF"/>
            <w:vAlign w:val="center"/>
            <w:hideMark/>
          </w:tcPr>
          <w:p w:rsidR="004F69FE" w:rsidRPr="001E0F58" w:rsidRDefault="004F69FE" w:rsidP="001E0F58">
            <w:pPr>
              <w:spacing w:after="0" w:line="240" w:lineRule="auto"/>
              <w:jc w:val="center"/>
              <w:rPr>
                <w:rFonts w:ascii="Arial" w:eastAsia="Times New Roman" w:hAnsi="Arial" w:cs="Arial"/>
                <w:lang w:eastAsia="en-GB"/>
              </w:rPr>
            </w:pPr>
            <w:r w:rsidRPr="001E0F58">
              <w:rPr>
                <w:rFonts w:ascii="Arial" w:eastAsia="Times New Roman" w:hAnsi="Arial" w:cs="Arial"/>
                <w:lang w:eastAsia="en-GB"/>
              </w:rPr>
              <w:t>£8,7</w:t>
            </w:r>
            <w:r w:rsidR="001E0F58" w:rsidRPr="001E0F58">
              <w:rPr>
                <w:rFonts w:ascii="Arial" w:eastAsia="Times New Roman" w:hAnsi="Arial" w:cs="Arial"/>
                <w:lang w:eastAsia="en-GB"/>
              </w:rPr>
              <w:t>29.24</w:t>
            </w:r>
          </w:p>
        </w:tc>
        <w:tc>
          <w:tcPr>
            <w:tcW w:w="2977" w:type="dxa"/>
            <w:tcBorders>
              <w:top w:val="nil"/>
              <w:left w:val="nil"/>
              <w:bottom w:val="single" w:sz="8" w:space="0" w:color="auto"/>
              <w:right w:val="single" w:sz="8" w:space="0" w:color="auto"/>
            </w:tcBorders>
            <w:shd w:val="clear" w:color="000000" w:fill="FFFFFF"/>
            <w:vAlign w:val="center"/>
            <w:hideMark/>
          </w:tcPr>
          <w:p w:rsidR="004F69FE" w:rsidRPr="001E0F58" w:rsidRDefault="004F69FE" w:rsidP="004F69FE">
            <w:pPr>
              <w:spacing w:after="0" w:line="240" w:lineRule="auto"/>
              <w:jc w:val="center"/>
              <w:rPr>
                <w:rFonts w:ascii="Arial" w:eastAsia="Times New Roman" w:hAnsi="Arial" w:cs="Arial"/>
                <w:lang w:eastAsia="en-GB"/>
              </w:rPr>
            </w:pPr>
            <w:r w:rsidRPr="001E0F58">
              <w:rPr>
                <w:rFonts w:ascii="Arial" w:eastAsia="Times New Roman" w:hAnsi="Arial" w:cs="Arial"/>
                <w:lang w:eastAsia="en-GB"/>
              </w:rPr>
              <w:t>£6,032.04</w:t>
            </w:r>
          </w:p>
        </w:tc>
        <w:tc>
          <w:tcPr>
            <w:tcW w:w="1134" w:type="dxa"/>
            <w:tcBorders>
              <w:top w:val="nil"/>
              <w:left w:val="nil"/>
              <w:bottom w:val="nil"/>
              <w:right w:val="nil"/>
            </w:tcBorders>
            <w:shd w:val="clear" w:color="auto" w:fill="auto"/>
            <w:noWrap/>
            <w:vAlign w:val="bottom"/>
            <w:hideMark/>
          </w:tcPr>
          <w:p w:rsidR="004F69FE" w:rsidRPr="00096175" w:rsidRDefault="004F69FE" w:rsidP="004F69FE">
            <w:pPr>
              <w:spacing w:after="0" w:line="240" w:lineRule="auto"/>
              <w:jc w:val="center"/>
              <w:rPr>
                <w:rFonts w:ascii="Arial" w:eastAsia="Times New Roman" w:hAnsi="Arial" w:cs="Arial"/>
                <w:color w:val="000000"/>
                <w:lang w:eastAsia="en-GB"/>
              </w:rPr>
            </w:pPr>
          </w:p>
        </w:tc>
      </w:tr>
      <w:tr w:rsidR="009A403E" w:rsidRPr="00096175" w:rsidTr="001E0F58">
        <w:trPr>
          <w:trHeight w:val="320"/>
        </w:trPr>
        <w:tc>
          <w:tcPr>
            <w:tcW w:w="2268" w:type="dxa"/>
            <w:tcBorders>
              <w:top w:val="nil"/>
              <w:left w:val="single" w:sz="8" w:space="0" w:color="auto"/>
              <w:bottom w:val="single" w:sz="8" w:space="0" w:color="auto"/>
              <w:right w:val="single" w:sz="8" w:space="0" w:color="auto"/>
            </w:tcBorders>
            <w:shd w:val="clear" w:color="000000" w:fill="9BC2E6"/>
            <w:vAlign w:val="center"/>
            <w:hideMark/>
          </w:tcPr>
          <w:p w:rsidR="004F69FE" w:rsidRPr="001E0F58" w:rsidRDefault="004F69FE" w:rsidP="004F69FE">
            <w:pPr>
              <w:spacing w:after="0" w:line="240" w:lineRule="auto"/>
              <w:rPr>
                <w:rFonts w:ascii="Arial" w:eastAsia="Times New Roman" w:hAnsi="Arial" w:cs="Arial"/>
                <w:b/>
                <w:bCs/>
                <w:lang w:eastAsia="en-GB"/>
              </w:rPr>
            </w:pPr>
            <w:r w:rsidRPr="001E0F58">
              <w:rPr>
                <w:rFonts w:ascii="Arial" w:eastAsia="Times New Roman" w:hAnsi="Arial" w:cs="Arial"/>
                <w:b/>
                <w:bCs/>
                <w:lang w:eastAsia="en-GB"/>
              </w:rPr>
              <w:t>Male</w:t>
            </w:r>
          </w:p>
        </w:tc>
        <w:tc>
          <w:tcPr>
            <w:tcW w:w="2693" w:type="dxa"/>
            <w:tcBorders>
              <w:top w:val="nil"/>
              <w:left w:val="nil"/>
              <w:bottom w:val="single" w:sz="8" w:space="0" w:color="auto"/>
              <w:right w:val="single" w:sz="8" w:space="0" w:color="auto"/>
            </w:tcBorders>
            <w:shd w:val="clear" w:color="000000" w:fill="FFFFFF"/>
            <w:vAlign w:val="center"/>
            <w:hideMark/>
          </w:tcPr>
          <w:p w:rsidR="004F69FE" w:rsidRPr="001E0F58" w:rsidRDefault="004F69FE" w:rsidP="001E0F58">
            <w:pPr>
              <w:spacing w:after="0" w:line="240" w:lineRule="auto"/>
              <w:jc w:val="center"/>
              <w:rPr>
                <w:rFonts w:ascii="Arial" w:eastAsia="Times New Roman" w:hAnsi="Arial" w:cs="Arial"/>
                <w:lang w:eastAsia="en-GB"/>
              </w:rPr>
            </w:pPr>
            <w:r w:rsidRPr="001E0F58">
              <w:rPr>
                <w:rFonts w:ascii="Arial" w:eastAsia="Times New Roman" w:hAnsi="Arial" w:cs="Arial"/>
                <w:lang w:eastAsia="en-GB"/>
              </w:rPr>
              <w:t>£10,</w:t>
            </w:r>
            <w:r w:rsidR="001E0F58" w:rsidRPr="001E0F58">
              <w:rPr>
                <w:rFonts w:ascii="Arial" w:eastAsia="Times New Roman" w:hAnsi="Arial" w:cs="Arial"/>
                <w:lang w:eastAsia="en-GB"/>
              </w:rPr>
              <w:t>782.82</w:t>
            </w:r>
          </w:p>
        </w:tc>
        <w:tc>
          <w:tcPr>
            <w:tcW w:w="2977" w:type="dxa"/>
            <w:tcBorders>
              <w:top w:val="nil"/>
              <w:left w:val="nil"/>
              <w:bottom w:val="single" w:sz="8" w:space="0" w:color="auto"/>
              <w:right w:val="single" w:sz="8" w:space="0" w:color="auto"/>
            </w:tcBorders>
            <w:shd w:val="clear" w:color="000000" w:fill="FFFFFF"/>
            <w:vAlign w:val="center"/>
            <w:hideMark/>
          </w:tcPr>
          <w:p w:rsidR="004F69FE" w:rsidRPr="001E0F58" w:rsidRDefault="004F69FE" w:rsidP="004F69FE">
            <w:pPr>
              <w:spacing w:after="0" w:line="240" w:lineRule="auto"/>
              <w:jc w:val="center"/>
              <w:rPr>
                <w:rFonts w:ascii="Arial" w:eastAsia="Times New Roman" w:hAnsi="Arial" w:cs="Arial"/>
                <w:lang w:eastAsia="en-GB"/>
              </w:rPr>
            </w:pPr>
            <w:r w:rsidRPr="001E0F58">
              <w:rPr>
                <w:rFonts w:ascii="Arial" w:eastAsia="Times New Roman" w:hAnsi="Arial" w:cs="Arial"/>
                <w:lang w:eastAsia="en-GB"/>
              </w:rPr>
              <w:t>£9,048.00</w:t>
            </w:r>
          </w:p>
        </w:tc>
        <w:tc>
          <w:tcPr>
            <w:tcW w:w="1134" w:type="dxa"/>
            <w:tcBorders>
              <w:top w:val="nil"/>
              <w:left w:val="nil"/>
              <w:bottom w:val="nil"/>
              <w:right w:val="nil"/>
            </w:tcBorders>
            <w:shd w:val="clear" w:color="auto" w:fill="auto"/>
            <w:noWrap/>
            <w:vAlign w:val="bottom"/>
            <w:hideMark/>
          </w:tcPr>
          <w:p w:rsidR="004F69FE" w:rsidRPr="00096175" w:rsidRDefault="004F69FE" w:rsidP="004F69FE">
            <w:pPr>
              <w:spacing w:after="0" w:line="240" w:lineRule="auto"/>
              <w:jc w:val="center"/>
              <w:rPr>
                <w:rFonts w:ascii="Arial" w:eastAsia="Times New Roman" w:hAnsi="Arial" w:cs="Arial"/>
                <w:color w:val="000000"/>
                <w:lang w:eastAsia="en-GB"/>
              </w:rPr>
            </w:pPr>
          </w:p>
        </w:tc>
      </w:tr>
      <w:tr w:rsidR="009A403E" w:rsidRPr="00096175" w:rsidTr="001E0F58">
        <w:trPr>
          <w:trHeight w:val="273"/>
        </w:trPr>
        <w:tc>
          <w:tcPr>
            <w:tcW w:w="2268" w:type="dxa"/>
            <w:tcBorders>
              <w:top w:val="nil"/>
              <w:left w:val="single" w:sz="8" w:space="0" w:color="auto"/>
              <w:bottom w:val="single" w:sz="8" w:space="0" w:color="auto"/>
              <w:right w:val="single" w:sz="8" w:space="0" w:color="auto"/>
            </w:tcBorders>
            <w:shd w:val="clear" w:color="000000" w:fill="9BC2E6"/>
            <w:vAlign w:val="center"/>
            <w:hideMark/>
          </w:tcPr>
          <w:p w:rsidR="004F69FE" w:rsidRPr="001E0F58" w:rsidRDefault="004F69FE" w:rsidP="004F69FE">
            <w:pPr>
              <w:spacing w:after="0" w:line="240" w:lineRule="auto"/>
              <w:rPr>
                <w:rFonts w:ascii="Arial" w:eastAsia="Times New Roman" w:hAnsi="Arial" w:cs="Arial"/>
                <w:b/>
                <w:bCs/>
                <w:lang w:eastAsia="en-GB"/>
              </w:rPr>
            </w:pPr>
            <w:r w:rsidRPr="001E0F58">
              <w:rPr>
                <w:rFonts w:ascii="Arial" w:eastAsia="Times New Roman" w:hAnsi="Arial" w:cs="Arial"/>
                <w:b/>
                <w:bCs/>
                <w:lang w:eastAsia="en-GB"/>
              </w:rPr>
              <w:t>Difference</w:t>
            </w:r>
          </w:p>
        </w:tc>
        <w:tc>
          <w:tcPr>
            <w:tcW w:w="2693" w:type="dxa"/>
            <w:tcBorders>
              <w:top w:val="nil"/>
              <w:left w:val="nil"/>
              <w:bottom w:val="single" w:sz="8" w:space="0" w:color="auto"/>
              <w:right w:val="single" w:sz="8" w:space="0" w:color="auto"/>
            </w:tcBorders>
            <w:shd w:val="clear" w:color="auto" w:fill="auto"/>
            <w:noWrap/>
            <w:vAlign w:val="center"/>
            <w:hideMark/>
          </w:tcPr>
          <w:p w:rsidR="004F69FE" w:rsidRPr="001E0F58" w:rsidRDefault="004F69FE" w:rsidP="001E0F58">
            <w:pPr>
              <w:spacing w:after="0" w:line="240" w:lineRule="auto"/>
              <w:jc w:val="center"/>
              <w:rPr>
                <w:rFonts w:ascii="Arial" w:eastAsia="Times New Roman" w:hAnsi="Arial" w:cs="Arial"/>
                <w:lang w:eastAsia="en-GB"/>
              </w:rPr>
            </w:pPr>
            <w:r w:rsidRPr="001E0F58">
              <w:rPr>
                <w:rFonts w:ascii="Arial" w:eastAsia="Times New Roman" w:hAnsi="Arial" w:cs="Arial"/>
                <w:lang w:eastAsia="en-GB"/>
              </w:rPr>
              <w:t>£2,</w:t>
            </w:r>
            <w:r w:rsidR="001E0F58">
              <w:rPr>
                <w:rFonts w:ascii="Arial" w:eastAsia="Times New Roman" w:hAnsi="Arial" w:cs="Arial"/>
                <w:lang w:eastAsia="en-GB"/>
              </w:rPr>
              <w:t>053.57</w:t>
            </w:r>
          </w:p>
        </w:tc>
        <w:tc>
          <w:tcPr>
            <w:tcW w:w="2977" w:type="dxa"/>
            <w:tcBorders>
              <w:top w:val="nil"/>
              <w:left w:val="nil"/>
              <w:bottom w:val="single" w:sz="8" w:space="0" w:color="auto"/>
              <w:right w:val="single" w:sz="8" w:space="0" w:color="auto"/>
            </w:tcBorders>
            <w:shd w:val="clear" w:color="auto" w:fill="auto"/>
            <w:noWrap/>
            <w:vAlign w:val="center"/>
            <w:hideMark/>
          </w:tcPr>
          <w:p w:rsidR="004F69FE" w:rsidRPr="001E0F58" w:rsidRDefault="004F69FE" w:rsidP="004F69FE">
            <w:pPr>
              <w:spacing w:after="0" w:line="240" w:lineRule="auto"/>
              <w:jc w:val="center"/>
              <w:rPr>
                <w:rFonts w:ascii="Arial" w:eastAsia="Times New Roman" w:hAnsi="Arial" w:cs="Arial"/>
                <w:lang w:eastAsia="en-GB"/>
              </w:rPr>
            </w:pPr>
            <w:r w:rsidRPr="001E0F58">
              <w:rPr>
                <w:rFonts w:ascii="Arial" w:eastAsia="Times New Roman" w:hAnsi="Arial" w:cs="Arial"/>
                <w:lang w:eastAsia="en-GB"/>
              </w:rPr>
              <w:t>£3,015.96</w:t>
            </w:r>
          </w:p>
        </w:tc>
        <w:tc>
          <w:tcPr>
            <w:tcW w:w="1134" w:type="dxa"/>
            <w:tcBorders>
              <w:top w:val="nil"/>
              <w:left w:val="nil"/>
              <w:bottom w:val="nil"/>
              <w:right w:val="nil"/>
            </w:tcBorders>
            <w:shd w:val="clear" w:color="auto" w:fill="auto"/>
            <w:noWrap/>
            <w:vAlign w:val="bottom"/>
            <w:hideMark/>
          </w:tcPr>
          <w:p w:rsidR="004F69FE" w:rsidRPr="00096175" w:rsidRDefault="004F69FE" w:rsidP="004F69FE">
            <w:pPr>
              <w:spacing w:after="0" w:line="240" w:lineRule="auto"/>
              <w:jc w:val="center"/>
              <w:rPr>
                <w:rFonts w:ascii="Arial" w:eastAsia="Times New Roman" w:hAnsi="Arial" w:cs="Arial"/>
                <w:color w:val="000000"/>
                <w:lang w:eastAsia="en-GB"/>
              </w:rPr>
            </w:pPr>
          </w:p>
        </w:tc>
      </w:tr>
      <w:tr w:rsidR="009A403E" w:rsidRPr="00096175" w:rsidTr="001E0F58">
        <w:trPr>
          <w:trHeight w:val="28"/>
        </w:trPr>
        <w:tc>
          <w:tcPr>
            <w:tcW w:w="2268" w:type="dxa"/>
            <w:tcBorders>
              <w:top w:val="nil"/>
              <w:left w:val="single" w:sz="8" w:space="0" w:color="auto"/>
              <w:bottom w:val="single" w:sz="8" w:space="0" w:color="auto"/>
              <w:right w:val="single" w:sz="8" w:space="0" w:color="auto"/>
            </w:tcBorders>
            <w:shd w:val="clear" w:color="000000" w:fill="9BC2E6"/>
            <w:vAlign w:val="center"/>
            <w:hideMark/>
          </w:tcPr>
          <w:p w:rsidR="004F69FE" w:rsidRPr="001E0F58" w:rsidRDefault="009A403E" w:rsidP="004F69FE">
            <w:pPr>
              <w:spacing w:after="0" w:line="240" w:lineRule="auto"/>
              <w:ind w:hanging="66"/>
              <w:rPr>
                <w:rFonts w:ascii="Arial" w:eastAsia="Times New Roman" w:hAnsi="Arial" w:cs="Arial"/>
                <w:b/>
                <w:bCs/>
                <w:lang w:eastAsia="en-GB"/>
              </w:rPr>
            </w:pPr>
            <w:r w:rsidRPr="001E0F58">
              <w:rPr>
                <w:rFonts w:ascii="Arial" w:eastAsia="Times New Roman" w:hAnsi="Arial" w:cs="Arial"/>
                <w:b/>
                <w:bCs/>
                <w:lang w:eastAsia="en-GB"/>
              </w:rPr>
              <w:t xml:space="preserve">BONUS </w:t>
            </w:r>
            <w:r w:rsidR="004F69FE" w:rsidRPr="001E0F58">
              <w:rPr>
                <w:rFonts w:ascii="Arial" w:eastAsia="Times New Roman" w:hAnsi="Arial" w:cs="Arial"/>
                <w:b/>
                <w:bCs/>
                <w:lang w:eastAsia="en-GB"/>
              </w:rPr>
              <w:t>Pay Gap %</w:t>
            </w:r>
          </w:p>
        </w:tc>
        <w:tc>
          <w:tcPr>
            <w:tcW w:w="2693" w:type="dxa"/>
            <w:tcBorders>
              <w:top w:val="nil"/>
              <w:left w:val="nil"/>
              <w:bottom w:val="single" w:sz="8" w:space="0" w:color="auto"/>
              <w:right w:val="single" w:sz="8" w:space="0" w:color="auto"/>
            </w:tcBorders>
            <w:shd w:val="clear" w:color="000000" w:fill="FFFFFF"/>
            <w:vAlign w:val="center"/>
            <w:hideMark/>
          </w:tcPr>
          <w:p w:rsidR="004F69FE" w:rsidRPr="001E0F58" w:rsidRDefault="001E0F58" w:rsidP="001E0F58">
            <w:pPr>
              <w:spacing w:after="0" w:line="240" w:lineRule="auto"/>
              <w:jc w:val="center"/>
              <w:rPr>
                <w:rFonts w:ascii="Arial" w:eastAsia="Times New Roman" w:hAnsi="Arial" w:cs="Arial"/>
                <w:lang w:eastAsia="en-GB"/>
              </w:rPr>
            </w:pPr>
            <w:r w:rsidRPr="001E0F58">
              <w:rPr>
                <w:rFonts w:ascii="Arial" w:eastAsia="Times New Roman" w:hAnsi="Arial" w:cs="Arial"/>
                <w:lang w:eastAsia="en-GB"/>
              </w:rPr>
              <w:t>19.04%</w:t>
            </w:r>
          </w:p>
        </w:tc>
        <w:tc>
          <w:tcPr>
            <w:tcW w:w="2977" w:type="dxa"/>
            <w:tcBorders>
              <w:top w:val="nil"/>
              <w:left w:val="nil"/>
              <w:bottom w:val="single" w:sz="8" w:space="0" w:color="auto"/>
              <w:right w:val="single" w:sz="8" w:space="0" w:color="auto"/>
            </w:tcBorders>
            <w:shd w:val="clear" w:color="000000" w:fill="FFFFFF"/>
            <w:vAlign w:val="center"/>
            <w:hideMark/>
          </w:tcPr>
          <w:p w:rsidR="004F69FE" w:rsidRPr="001E0F58" w:rsidRDefault="004F69FE" w:rsidP="004F69FE">
            <w:pPr>
              <w:spacing w:after="0" w:line="240" w:lineRule="auto"/>
              <w:jc w:val="center"/>
              <w:rPr>
                <w:rFonts w:ascii="Arial" w:eastAsia="Times New Roman" w:hAnsi="Arial" w:cs="Arial"/>
                <w:lang w:eastAsia="en-GB"/>
              </w:rPr>
            </w:pPr>
            <w:r w:rsidRPr="001E0F58">
              <w:rPr>
                <w:rFonts w:ascii="Arial" w:eastAsia="Times New Roman" w:hAnsi="Arial" w:cs="Arial"/>
                <w:lang w:eastAsia="en-GB"/>
              </w:rPr>
              <w:t>33.33%</w:t>
            </w:r>
          </w:p>
        </w:tc>
        <w:tc>
          <w:tcPr>
            <w:tcW w:w="1134" w:type="dxa"/>
            <w:tcBorders>
              <w:top w:val="nil"/>
              <w:left w:val="nil"/>
              <w:bottom w:val="nil"/>
              <w:right w:val="nil"/>
            </w:tcBorders>
            <w:shd w:val="clear" w:color="auto" w:fill="auto"/>
            <w:noWrap/>
            <w:vAlign w:val="bottom"/>
            <w:hideMark/>
          </w:tcPr>
          <w:p w:rsidR="004F69FE" w:rsidRPr="00096175" w:rsidRDefault="004F69FE" w:rsidP="004F69FE">
            <w:pPr>
              <w:spacing w:after="0" w:line="240" w:lineRule="auto"/>
              <w:jc w:val="center"/>
              <w:rPr>
                <w:rFonts w:ascii="Arial" w:eastAsia="Times New Roman" w:hAnsi="Arial" w:cs="Arial"/>
                <w:color w:val="000000"/>
                <w:lang w:eastAsia="en-GB"/>
              </w:rPr>
            </w:pPr>
          </w:p>
        </w:tc>
      </w:tr>
    </w:tbl>
    <w:p w:rsidR="000D78A0" w:rsidRDefault="008779F4" w:rsidP="002E1D29">
      <w:pPr>
        <w:spacing w:before="240"/>
        <w:rPr>
          <w:rFonts w:ascii="Arial" w:hAnsi="Arial" w:cs="Arial"/>
        </w:rPr>
      </w:pPr>
      <w:r w:rsidRPr="008779F4">
        <w:rPr>
          <w:rFonts w:ascii="Arial" w:hAnsi="Arial" w:cs="Arial"/>
          <w:b/>
        </w:rPr>
        <w:t xml:space="preserve">Year ending 2022 </w:t>
      </w:r>
      <w:r>
        <w:rPr>
          <w:rFonts w:ascii="Arial" w:hAnsi="Arial" w:cs="Arial"/>
          <w:b/>
        </w:rPr>
        <w:t xml:space="preserve">– </w:t>
      </w:r>
      <w:r w:rsidR="000D78A0">
        <w:rPr>
          <w:rFonts w:ascii="Arial" w:hAnsi="Arial" w:cs="Arial"/>
        </w:rPr>
        <w:t>Consultant numbers and ratios were unchanged</w:t>
      </w:r>
      <w:r w:rsidR="002E1D29">
        <w:rPr>
          <w:rFonts w:ascii="Arial" w:hAnsi="Arial" w:cs="Arial"/>
        </w:rPr>
        <w:t xml:space="preserve"> from 2021 </w:t>
      </w:r>
      <w:r w:rsidR="002E1D29" w:rsidRPr="002E1D29">
        <w:rPr>
          <w:rFonts w:ascii="Arial" w:hAnsi="Arial" w:cs="Arial"/>
        </w:rPr>
        <w:t xml:space="preserve">at 440 consultants </w:t>
      </w:r>
      <w:r w:rsidR="002E1D29">
        <w:rPr>
          <w:rFonts w:ascii="Arial" w:hAnsi="Arial" w:cs="Arial"/>
        </w:rPr>
        <w:t xml:space="preserve">and </w:t>
      </w:r>
      <w:r w:rsidR="002E1D29" w:rsidRPr="002E1D29">
        <w:rPr>
          <w:rFonts w:ascii="Arial" w:hAnsi="Arial" w:cs="Arial"/>
        </w:rPr>
        <w:t xml:space="preserve">170 female </w:t>
      </w:r>
      <w:r w:rsidR="002E1D29">
        <w:rPr>
          <w:rFonts w:ascii="Arial" w:hAnsi="Arial" w:cs="Arial"/>
        </w:rPr>
        <w:t>to</w:t>
      </w:r>
      <w:r w:rsidR="002E1D29" w:rsidRPr="002E1D29">
        <w:rPr>
          <w:rFonts w:ascii="Arial" w:hAnsi="Arial" w:cs="Arial"/>
        </w:rPr>
        <w:t xml:space="preserve"> 270 male</w:t>
      </w:r>
      <w:r w:rsidR="002E1D29">
        <w:rPr>
          <w:rFonts w:ascii="Arial" w:hAnsi="Arial" w:cs="Arial"/>
        </w:rPr>
        <w:t xml:space="preserve"> (</w:t>
      </w:r>
      <w:r w:rsidR="002E1D29" w:rsidRPr="008779F4">
        <w:rPr>
          <w:rFonts w:ascii="Arial" w:hAnsi="Arial" w:cs="Arial"/>
          <w:i/>
        </w:rPr>
        <w:t>38.6% to 61.4%</w:t>
      </w:r>
      <w:r w:rsidR="002E1D29">
        <w:rPr>
          <w:rFonts w:ascii="Arial" w:hAnsi="Arial" w:cs="Arial"/>
          <w:i/>
        </w:rPr>
        <w:t>)</w:t>
      </w:r>
      <w:r w:rsidR="002E1D29">
        <w:rPr>
          <w:rFonts w:ascii="Arial" w:hAnsi="Arial" w:cs="Arial"/>
        </w:rPr>
        <w:t>. Of</w:t>
      </w:r>
      <w:r w:rsidR="000D78A0">
        <w:rPr>
          <w:rFonts w:ascii="Arial" w:hAnsi="Arial" w:cs="Arial"/>
        </w:rPr>
        <w:t xml:space="preserve"> these </w:t>
      </w:r>
      <w:r>
        <w:rPr>
          <w:rFonts w:ascii="Arial" w:hAnsi="Arial" w:cs="Arial"/>
        </w:rPr>
        <w:t xml:space="preserve">47 female and 90 male were paid a bonus </w:t>
      </w:r>
      <w:r w:rsidR="002E1D29">
        <w:rPr>
          <w:rFonts w:ascii="Arial" w:hAnsi="Arial" w:cs="Arial"/>
        </w:rPr>
        <w:t>(34.3%: 65.7% against a w</w:t>
      </w:r>
      <w:r>
        <w:rPr>
          <w:rFonts w:ascii="Arial" w:hAnsi="Arial" w:cs="Arial"/>
        </w:rPr>
        <w:t xml:space="preserve">orkforce ratio </w:t>
      </w:r>
      <w:r w:rsidR="002E1D29">
        <w:rPr>
          <w:rFonts w:ascii="Arial" w:hAnsi="Arial" w:cs="Arial"/>
        </w:rPr>
        <w:t>of</w:t>
      </w:r>
      <w:r>
        <w:rPr>
          <w:rFonts w:ascii="Arial" w:hAnsi="Arial" w:cs="Arial"/>
        </w:rPr>
        <w:t xml:space="preserve"> </w:t>
      </w:r>
      <w:r w:rsidR="00D067E4" w:rsidRPr="00D067E4">
        <w:rPr>
          <w:rFonts w:ascii="Arial" w:hAnsi="Arial" w:cs="Arial"/>
        </w:rPr>
        <w:t>78.3</w:t>
      </w:r>
      <w:r w:rsidRPr="00D067E4">
        <w:rPr>
          <w:rFonts w:ascii="Arial" w:hAnsi="Arial" w:cs="Arial"/>
        </w:rPr>
        <w:t>% female</w:t>
      </w:r>
      <w:r w:rsidR="000D78A0">
        <w:rPr>
          <w:rFonts w:ascii="Arial" w:hAnsi="Arial" w:cs="Arial"/>
        </w:rPr>
        <w:t xml:space="preserve">: </w:t>
      </w:r>
      <w:r w:rsidR="00D067E4" w:rsidRPr="00D067E4">
        <w:rPr>
          <w:rFonts w:ascii="Arial" w:hAnsi="Arial" w:cs="Arial"/>
        </w:rPr>
        <w:t>21.7</w:t>
      </w:r>
      <w:r w:rsidR="000D78A0">
        <w:rPr>
          <w:rFonts w:ascii="Arial" w:hAnsi="Arial" w:cs="Arial"/>
        </w:rPr>
        <w:t xml:space="preserve">% </w:t>
      </w:r>
      <w:r w:rsidR="002E1D29">
        <w:rPr>
          <w:rFonts w:ascii="Arial" w:hAnsi="Arial" w:cs="Arial"/>
        </w:rPr>
        <w:t>m</w:t>
      </w:r>
      <w:r w:rsidR="000D78A0">
        <w:rPr>
          <w:rFonts w:ascii="Arial" w:hAnsi="Arial" w:cs="Arial"/>
        </w:rPr>
        <w:t xml:space="preserve">ale). </w:t>
      </w:r>
      <w:r w:rsidR="003223C5" w:rsidRPr="009D413A">
        <w:rPr>
          <w:rFonts w:ascii="Arial" w:hAnsi="Arial" w:cs="Arial"/>
        </w:rPr>
        <w:t>Only 1.</w:t>
      </w:r>
      <w:r w:rsidR="003223C5">
        <w:rPr>
          <w:rFonts w:ascii="Arial" w:hAnsi="Arial" w:cs="Arial"/>
        </w:rPr>
        <w:t>4</w:t>
      </w:r>
      <w:r w:rsidR="003223C5" w:rsidRPr="009D413A">
        <w:rPr>
          <w:rFonts w:ascii="Arial" w:hAnsi="Arial" w:cs="Arial"/>
        </w:rPr>
        <w:t>% of the workforce are paid a Bonus and of this 0.6</w:t>
      </w:r>
      <w:r w:rsidR="003223C5">
        <w:rPr>
          <w:rFonts w:ascii="Arial" w:hAnsi="Arial" w:cs="Arial"/>
        </w:rPr>
        <w:t>1</w:t>
      </w:r>
      <w:r w:rsidR="003223C5" w:rsidRPr="009D413A">
        <w:rPr>
          <w:rFonts w:ascii="Arial" w:hAnsi="Arial" w:cs="Arial"/>
        </w:rPr>
        <w:t>% are women and 4.</w:t>
      </w:r>
      <w:r w:rsidR="003223C5">
        <w:rPr>
          <w:rFonts w:ascii="Arial" w:hAnsi="Arial" w:cs="Arial"/>
        </w:rPr>
        <w:t>19</w:t>
      </w:r>
      <w:r w:rsidR="003223C5" w:rsidRPr="009D413A">
        <w:rPr>
          <w:rFonts w:ascii="Arial" w:hAnsi="Arial" w:cs="Arial"/>
        </w:rPr>
        <w:t>% are male</w:t>
      </w:r>
      <w:r w:rsidR="003223C5">
        <w:rPr>
          <w:rFonts w:ascii="Arial" w:hAnsi="Arial" w:cs="Arial"/>
        </w:rPr>
        <w:t xml:space="preserve">. </w:t>
      </w:r>
      <w:r w:rsidR="003223C5" w:rsidRPr="00A87940">
        <w:rPr>
          <w:rFonts w:ascii="Arial" w:hAnsi="Arial" w:cs="Arial"/>
          <w:b/>
        </w:rPr>
        <w:t xml:space="preserve">NB </w:t>
      </w:r>
      <w:r w:rsidR="003223C5">
        <w:rPr>
          <w:rFonts w:ascii="Arial" w:hAnsi="Arial" w:cs="Arial"/>
          <w:b/>
        </w:rPr>
        <w:t>See page 13 for further details.</w:t>
      </w:r>
    </w:p>
    <w:p w:rsidR="000D78A0" w:rsidRPr="00A32EC1" w:rsidRDefault="000D78A0" w:rsidP="000D78A0">
      <w:pPr>
        <w:rPr>
          <w:rFonts w:ascii="Arial" w:hAnsi="Arial" w:cs="Arial"/>
          <w:color w:val="FF0000"/>
        </w:rPr>
      </w:pPr>
      <w:r w:rsidRPr="00A32EC1">
        <w:rPr>
          <w:rFonts w:ascii="Arial" w:hAnsi="Arial" w:cs="Arial"/>
          <w:b/>
          <w:color w:val="FF0000"/>
          <w:u w:val="single"/>
        </w:rPr>
        <w:t>IMPORTANT NOTATION </w:t>
      </w:r>
      <w:r w:rsidRPr="00A32EC1">
        <w:rPr>
          <w:rFonts w:ascii="Arial" w:hAnsi="Arial" w:cs="Arial"/>
          <w:b/>
          <w:color w:val="FF0000"/>
        </w:rPr>
        <w:t>-</w:t>
      </w:r>
      <w:r w:rsidRPr="00A32EC1">
        <w:rPr>
          <w:color w:val="FF0000"/>
        </w:rPr>
        <w:t xml:space="preserve"> </w:t>
      </w:r>
      <w:r w:rsidR="003223C5" w:rsidRPr="00A32EC1">
        <w:rPr>
          <w:rFonts w:ascii="Arial" w:hAnsi="Arial" w:cs="Arial"/>
          <w:color w:val="FF0000"/>
        </w:rPr>
        <w:t xml:space="preserve">NHS Trusts </w:t>
      </w:r>
      <w:r w:rsidR="002E1D29" w:rsidRPr="00A32EC1">
        <w:rPr>
          <w:rFonts w:ascii="Arial" w:hAnsi="Arial" w:cs="Arial"/>
          <w:color w:val="FF0000"/>
        </w:rPr>
        <w:t>did n</w:t>
      </w:r>
      <w:r w:rsidR="003223C5" w:rsidRPr="00A32EC1">
        <w:rPr>
          <w:rFonts w:ascii="Arial" w:hAnsi="Arial" w:cs="Arial"/>
          <w:color w:val="FF0000"/>
        </w:rPr>
        <w:t xml:space="preserve">ot run the normal </w:t>
      </w:r>
      <w:r w:rsidRPr="00A32EC1">
        <w:rPr>
          <w:rFonts w:ascii="Arial" w:hAnsi="Arial" w:cs="Arial"/>
          <w:color w:val="FF0000"/>
        </w:rPr>
        <w:t xml:space="preserve">CEA awards due to </w:t>
      </w:r>
      <w:r w:rsidR="003223C5" w:rsidRPr="00A32EC1">
        <w:rPr>
          <w:rFonts w:ascii="Arial" w:hAnsi="Arial" w:cs="Arial"/>
          <w:color w:val="FF0000"/>
        </w:rPr>
        <w:t>C</w:t>
      </w:r>
      <w:r w:rsidRPr="00A32EC1">
        <w:rPr>
          <w:rFonts w:ascii="Arial" w:hAnsi="Arial" w:cs="Arial"/>
          <w:color w:val="FF0000"/>
        </w:rPr>
        <w:t>ovid</w:t>
      </w:r>
      <w:r w:rsidR="003223C5" w:rsidRPr="00A32EC1">
        <w:rPr>
          <w:rFonts w:ascii="Arial" w:hAnsi="Arial" w:cs="Arial"/>
          <w:color w:val="FF0000"/>
        </w:rPr>
        <w:t xml:space="preserve">. All </w:t>
      </w:r>
      <w:r w:rsidRPr="00A32EC1">
        <w:rPr>
          <w:rFonts w:ascii="Arial" w:hAnsi="Arial" w:cs="Arial"/>
          <w:color w:val="FF0000"/>
        </w:rPr>
        <w:t xml:space="preserve">eligible Consultants received a one off payment in May 22 for this </w:t>
      </w:r>
      <w:r w:rsidR="002E1D29" w:rsidRPr="00A32EC1">
        <w:rPr>
          <w:rFonts w:ascii="Arial" w:hAnsi="Arial" w:cs="Arial"/>
          <w:color w:val="FF0000"/>
        </w:rPr>
        <w:t xml:space="preserve">payment </w:t>
      </w:r>
      <w:r w:rsidRPr="00A32EC1">
        <w:rPr>
          <w:rFonts w:ascii="Arial" w:hAnsi="Arial" w:cs="Arial"/>
          <w:color w:val="FF0000"/>
        </w:rPr>
        <w:t>round</w:t>
      </w:r>
      <w:r w:rsidR="002E1D29" w:rsidRPr="00A32EC1">
        <w:rPr>
          <w:rFonts w:ascii="Arial" w:hAnsi="Arial" w:cs="Arial"/>
          <w:color w:val="FF0000"/>
        </w:rPr>
        <w:t xml:space="preserve"> which does </w:t>
      </w:r>
      <w:r w:rsidR="003223C5" w:rsidRPr="00A32EC1">
        <w:rPr>
          <w:rFonts w:ascii="Arial" w:hAnsi="Arial" w:cs="Arial"/>
          <w:color w:val="FF0000"/>
        </w:rPr>
        <w:t xml:space="preserve">not appear on this report but will be within the next report for data year ending March 2023. </w:t>
      </w:r>
      <w:r w:rsidR="002E1D29" w:rsidRPr="00A32EC1">
        <w:rPr>
          <w:rFonts w:ascii="Arial" w:hAnsi="Arial" w:cs="Arial"/>
          <w:color w:val="FF0000"/>
        </w:rPr>
        <w:t>The payments that do appear this year are the monthly amounts for p</w:t>
      </w:r>
      <w:r w:rsidRPr="00A32EC1">
        <w:rPr>
          <w:rFonts w:ascii="Arial" w:hAnsi="Arial" w:cs="Arial"/>
          <w:color w:val="FF0000"/>
        </w:rPr>
        <w:t>revious CEA’s awarded</w:t>
      </w:r>
      <w:r w:rsidR="002E1D29" w:rsidRPr="00A32EC1">
        <w:rPr>
          <w:rFonts w:ascii="Arial" w:hAnsi="Arial" w:cs="Arial"/>
          <w:color w:val="FF0000"/>
        </w:rPr>
        <w:t xml:space="preserve"> and this group may have been eligible for both awards which will also impact data at year ending March 2023</w:t>
      </w:r>
      <w:r w:rsidR="002E1D29" w:rsidRPr="00A32EC1">
        <w:rPr>
          <w:color w:val="FF0000"/>
        </w:rPr>
        <w:t>.</w:t>
      </w:r>
      <w:r w:rsidRPr="00A32EC1">
        <w:rPr>
          <w:color w:val="FF0000"/>
        </w:rPr>
        <w:t xml:space="preserve"> </w:t>
      </w:r>
    </w:p>
    <w:p w:rsidR="008779F4" w:rsidRDefault="000D78A0" w:rsidP="00A32EC1">
      <w:pPr>
        <w:rPr>
          <w:rFonts w:ascii="Arial" w:hAnsi="Arial" w:cs="Arial"/>
        </w:rPr>
      </w:pPr>
      <w:r>
        <w:rPr>
          <w:color w:val="1F497D"/>
        </w:rPr>
        <w:t> </w:t>
      </w:r>
    </w:p>
    <w:p w:rsidR="00582903" w:rsidRPr="000210F6" w:rsidRDefault="00582903" w:rsidP="00160849">
      <w:pPr>
        <w:pStyle w:val="Heading1"/>
        <w:spacing w:before="0" w:after="120"/>
        <w:jc w:val="center"/>
        <w:rPr>
          <w:rFonts w:ascii="Arial" w:hAnsi="Arial" w:cs="Arial"/>
          <w:color w:val="auto"/>
          <w:highlight w:val="lightGray"/>
        </w:rPr>
      </w:pPr>
      <w:r w:rsidRPr="000210F6">
        <w:rPr>
          <w:rFonts w:ascii="Arial" w:hAnsi="Arial" w:cs="Arial"/>
          <w:color w:val="auto"/>
          <w:highlight w:val="lightGray"/>
        </w:rPr>
        <w:t xml:space="preserve">SUPPORTING DATA </w:t>
      </w:r>
    </w:p>
    <w:p w:rsidR="00160849" w:rsidRDefault="009A403E" w:rsidP="00160849">
      <w:pPr>
        <w:pStyle w:val="Heading1"/>
        <w:spacing w:before="0" w:after="120"/>
        <w:jc w:val="center"/>
        <w:rPr>
          <w:rFonts w:ascii="Arial" w:hAnsi="Arial" w:cs="Arial"/>
          <w:color w:val="auto"/>
        </w:rPr>
      </w:pPr>
      <w:r w:rsidRPr="000210F6">
        <w:rPr>
          <w:rFonts w:ascii="Arial" w:hAnsi="Arial" w:cs="Arial"/>
          <w:color w:val="auto"/>
          <w:highlight w:val="lightGray"/>
        </w:rPr>
        <w:t>Gender Profile at March 31</w:t>
      </w:r>
      <w:r w:rsidRPr="000210F6">
        <w:rPr>
          <w:rFonts w:ascii="Arial" w:hAnsi="Arial" w:cs="Arial"/>
          <w:color w:val="auto"/>
          <w:highlight w:val="lightGray"/>
          <w:vertAlign w:val="superscript"/>
        </w:rPr>
        <w:t>st</w:t>
      </w:r>
      <w:r w:rsidRPr="000210F6">
        <w:rPr>
          <w:rFonts w:ascii="Arial" w:hAnsi="Arial" w:cs="Arial"/>
          <w:color w:val="auto"/>
          <w:highlight w:val="lightGray"/>
        </w:rPr>
        <w:t xml:space="preserve"> 2021</w:t>
      </w:r>
    </w:p>
    <w:p w:rsidR="00582903" w:rsidRPr="00D067E4" w:rsidRDefault="00861460" w:rsidP="008A2632">
      <w:pPr>
        <w:pStyle w:val="Heading1"/>
        <w:spacing w:before="0" w:after="120"/>
        <w:rPr>
          <w:rFonts w:ascii="Arial" w:hAnsi="Arial" w:cs="Arial"/>
          <w:color w:val="auto"/>
          <w:sz w:val="24"/>
          <w:szCs w:val="24"/>
        </w:rPr>
      </w:pPr>
      <w:r w:rsidRPr="00D067E4">
        <w:rPr>
          <w:rFonts w:ascii="Arial" w:hAnsi="Arial" w:cs="Arial"/>
          <w:color w:val="auto"/>
          <w:sz w:val="24"/>
          <w:szCs w:val="24"/>
        </w:rPr>
        <w:t>B</w:t>
      </w:r>
      <w:r w:rsidR="00BF2BAD" w:rsidRPr="00D067E4">
        <w:rPr>
          <w:rFonts w:ascii="Arial" w:hAnsi="Arial" w:cs="Arial"/>
          <w:color w:val="auto"/>
          <w:sz w:val="24"/>
          <w:szCs w:val="24"/>
        </w:rPr>
        <w:t>edfordshire Hospitals Foundation Trust B</w:t>
      </w:r>
      <w:r w:rsidRPr="00D067E4">
        <w:rPr>
          <w:rFonts w:ascii="Arial" w:hAnsi="Arial" w:cs="Arial"/>
          <w:color w:val="auto"/>
          <w:sz w:val="24"/>
          <w:szCs w:val="24"/>
        </w:rPr>
        <w:t>HFT</w:t>
      </w:r>
      <w:r w:rsidR="008779F4" w:rsidRPr="00D067E4">
        <w:rPr>
          <w:rFonts w:ascii="Arial" w:hAnsi="Arial" w:cs="Arial"/>
          <w:color w:val="auto"/>
          <w:sz w:val="24"/>
          <w:szCs w:val="24"/>
        </w:rPr>
        <w:t xml:space="preserve"> staff</w:t>
      </w:r>
      <w:r w:rsidRPr="00D067E4">
        <w:rPr>
          <w:rFonts w:ascii="Arial" w:hAnsi="Arial" w:cs="Arial"/>
          <w:color w:val="auto"/>
          <w:sz w:val="24"/>
          <w:szCs w:val="24"/>
        </w:rPr>
        <w:t xml:space="preserve"> </w:t>
      </w:r>
      <w:r w:rsidR="00BF2BAD" w:rsidRPr="00D067E4">
        <w:rPr>
          <w:rFonts w:ascii="Arial" w:hAnsi="Arial" w:cs="Arial"/>
          <w:color w:val="auto"/>
          <w:sz w:val="24"/>
          <w:szCs w:val="24"/>
        </w:rPr>
        <w:t>at</w:t>
      </w:r>
      <w:r w:rsidR="000B10B2" w:rsidRPr="00D067E4">
        <w:rPr>
          <w:rFonts w:ascii="Arial" w:hAnsi="Arial" w:cs="Arial"/>
          <w:color w:val="auto"/>
          <w:sz w:val="24"/>
          <w:szCs w:val="24"/>
        </w:rPr>
        <w:t xml:space="preserve"> Year end</w:t>
      </w:r>
      <w:r w:rsidR="00582903" w:rsidRPr="00D067E4">
        <w:rPr>
          <w:rFonts w:ascii="Arial" w:hAnsi="Arial" w:cs="Arial"/>
          <w:color w:val="auto"/>
          <w:sz w:val="24"/>
          <w:szCs w:val="24"/>
        </w:rPr>
        <w:t xml:space="preserve">: </w:t>
      </w:r>
    </w:p>
    <w:p w:rsidR="001E0F58" w:rsidRPr="008B1E8A" w:rsidRDefault="008779F4" w:rsidP="004135C2">
      <w:pPr>
        <w:pStyle w:val="ListParagraph"/>
        <w:numPr>
          <w:ilvl w:val="0"/>
          <w:numId w:val="4"/>
        </w:numPr>
        <w:rPr>
          <w:rFonts w:ascii="Arial" w:hAnsi="Arial" w:cs="Arial"/>
        </w:rPr>
      </w:pPr>
      <w:r w:rsidRPr="008B1E8A">
        <w:rPr>
          <w:rFonts w:ascii="Arial" w:hAnsi="Arial" w:cs="Arial"/>
          <w:b/>
        </w:rPr>
        <w:t xml:space="preserve">March 2022 – 8375 staff </w:t>
      </w:r>
      <w:r w:rsidR="000B10B2" w:rsidRPr="008B1E8A">
        <w:rPr>
          <w:rFonts w:ascii="Arial" w:hAnsi="Arial" w:cs="Arial"/>
          <w:b/>
        </w:rPr>
        <w:t xml:space="preserve">– </w:t>
      </w:r>
      <w:r w:rsidR="000B10B2" w:rsidRPr="008B1E8A">
        <w:rPr>
          <w:rFonts w:ascii="Arial" w:hAnsi="Arial" w:cs="Arial"/>
        </w:rPr>
        <w:t xml:space="preserve">this is an </w:t>
      </w:r>
      <w:r w:rsidRPr="008B1E8A">
        <w:rPr>
          <w:rFonts w:ascii="Arial" w:hAnsi="Arial" w:cs="Arial"/>
        </w:rPr>
        <w:t xml:space="preserve">increase of </w:t>
      </w:r>
      <w:r w:rsidR="000B10B2" w:rsidRPr="008B1E8A">
        <w:rPr>
          <w:rFonts w:ascii="Arial" w:hAnsi="Arial" w:cs="Arial"/>
        </w:rPr>
        <w:t xml:space="preserve">102 staff over the year at 71.5% (73) female and 28.4% (29) male. The </w:t>
      </w:r>
      <w:r w:rsidR="000B10B2" w:rsidRPr="00D067E4">
        <w:rPr>
          <w:rFonts w:ascii="Arial" w:hAnsi="Arial" w:cs="Arial"/>
          <w:b/>
          <w:u w:val="single"/>
        </w:rPr>
        <w:t xml:space="preserve">workforce ratio of </w:t>
      </w:r>
      <w:r w:rsidR="00A75C39" w:rsidRPr="00D067E4">
        <w:rPr>
          <w:rFonts w:ascii="Arial" w:hAnsi="Arial" w:cs="Arial"/>
          <w:b/>
          <w:u w:val="single"/>
        </w:rPr>
        <w:t xml:space="preserve">6691 </w:t>
      </w:r>
      <w:r w:rsidR="000B10B2" w:rsidRPr="00D067E4">
        <w:rPr>
          <w:rFonts w:ascii="Arial" w:hAnsi="Arial" w:cs="Arial"/>
          <w:b/>
          <w:u w:val="single"/>
        </w:rPr>
        <w:t xml:space="preserve">female to </w:t>
      </w:r>
      <w:r w:rsidR="00A75C39" w:rsidRPr="00D067E4">
        <w:rPr>
          <w:rFonts w:ascii="Arial" w:hAnsi="Arial" w:cs="Arial"/>
          <w:b/>
          <w:u w:val="single"/>
        </w:rPr>
        <w:t xml:space="preserve">1819 </w:t>
      </w:r>
      <w:r w:rsidR="000B10B2" w:rsidRPr="00D067E4">
        <w:rPr>
          <w:rFonts w:ascii="Arial" w:hAnsi="Arial" w:cs="Arial"/>
          <w:b/>
          <w:u w:val="single"/>
        </w:rPr>
        <w:t>male is 78.3%: 21.7%</w:t>
      </w:r>
      <w:r w:rsidR="00A75C39" w:rsidRPr="008B1E8A">
        <w:rPr>
          <w:rFonts w:ascii="Arial" w:hAnsi="Arial" w:cs="Arial"/>
        </w:rPr>
        <w:t xml:space="preserve"> </w:t>
      </w:r>
    </w:p>
    <w:p w:rsidR="000B10B2" w:rsidRPr="008B1E8A" w:rsidRDefault="00636C6F" w:rsidP="004135C2">
      <w:pPr>
        <w:pStyle w:val="ListParagraph"/>
        <w:numPr>
          <w:ilvl w:val="0"/>
          <w:numId w:val="4"/>
        </w:numPr>
        <w:rPr>
          <w:rFonts w:ascii="Arial" w:hAnsi="Arial" w:cs="Arial"/>
          <w:b/>
          <w:color w:val="000000"/>
        </w:rPr>
      </w:pPr>
      <w:r w:rsidRPr="008B1E8A">
        <w:rPr>
          <w:rFonts w:ascii="Arial" w:hAnsi="Arial" w:cs="Arial"/>
          <w:b/>
        </w:rPr>
        <w:t xml:space="preserve">March 2021 </w:t>
      </w:r>
      <w:r w:rsidR="000B10B2" w:rsidRPr="008B1E8A">
        <w:rPr>
          <w:rFonts w:ascii="Arial" w:hAnsi="Arial" w:cs="Arial"/>
          <w:b/>
        </w:rPr>
        <w:t xml:space="preserve">– 8273 staff – </w:t>
      </w:r>
      <w:r w:rsidR="000B10B2" w:rsidRPr="008B1E8A">
        <w:rPr>
          <w:rFonts w:ascii="Arial" w:hAnsi="Arial" w:cs="Arial"/>
        </w:rPr>
        <w:t xml:space="preserve">saw an </w:t>
      </w:r>
      <w:r w:rsidRPr="008B1E8A">
        <w:rPr>
          <w:rFonts w:ascii="Arial" w:hAnsi="Arial" w:cs="Arial"/>
        </w:rPr>
        <w:t xml:space="preserve">increase of 556 staff </w:t>
      </w:r>
      <w:r w:rsidR="000B10B2" w:rsidRPr="008B1E8A">
        <w:rPr>
          <w:rFonts w:ascii="Arial" w:hAnsi="Arial" w:cs="Arial"/>
        </w:rPr>
        <w:t xml:space="preserve">of </w:t>
      </w:r>
      <w:r w:rsidRPr="008B1E8A">
        <w:rPr>
          <w:rFonts w:ascii="Arial" w:hAnsi="Arial" w:cs="Arial"/>
        </w:rPr>
        <w:t xml:space="preserve">which 69% (386) female and 30% (170) were male. </w:t>
      </w:r>
      <w:r w:rsidR="00A75C39" w:rsidRPr="008B1E8A">
        <w:rPr>
          <w:rFonts w:ascii="Arial" w:hAnsi="Arial" w:cs="Arial"/>
        </w:rPr>
        <w:t xml:space="preserve">The workforce ratio of </w:t>
      </w:r>
      <w:r w:rsidR="000B10B2" w:rsidRPr="008B1E8A">
        <w:rPr>
          <w:rFonts w:ascii="Arial" w:hAnsi="Arial" w:cs="Arial"/>
          <w:color w:val="000000"/>
        </w:rPr>
        <w:t xml:space="preserve">6483 female to 1790 male (78.4% to 21.6%). </w:t>
      </w:r>
    </w:p>
    <w:p w:rsidR="00A75C39" w:rsidRDefault="000B10B2" w:rsidP="00A75C39">
      <w:pPr>
        <w:spacing w:after="0"/>
      </w:pPr>
      <w:r w:rsidRPr="00A75C39">
        <w:rPr>
          <w:rFonts w:ascii="Arial" w:hAnsi="Arial" w:cs="Arial"/>
          <w:b/>
        </w:rPr>
        <w:t xml:space="preserve">1st April 2020 </w:t>
      </w:r>
      <w:r w:rsidR="00A75C39">
        <w:rPr>
          <w:rFonts w:ascii="Arial" w:hAnsi="Arial" w:cs="Arial"/>
          <w:b/>
        </w:rPr>
        <w:t>-</w:t>
      </w:r>
      <w:r w:rsidRPr="00A75C39">
        <w:rPr>
          <w:rFonts w:ascii="Arial" w:hAnsi="Arial" w:cs="Arial"/>
        </w:rPr>
        <w:t xml:space="preserve"> </w:t>
      </w:r>
      <w:r w:rsidRPr="00A75C39">
        <w:rPr>
          <w:rFonts w:ascii="Arial" w:hAnsi="Arial" w:cs="Arial"/>
          <w:b/>
        </w:rPr>
        <w:t>7717</w:t>
      </w:r>
      <w:r w:rsidRPr="00A75C39">
        <w:rPr>
          <w:rFonts w:ascii="Arial" w:hAnsi="Arial" w:cs="Arial"/>
        </w:rPr>
        <w:t xml:space="preserve"> </w:t>
      </w:r>
      <w:r w:rsidR="00A75C39" w:rsidRPr="00A75C39">
        <w:rPr>
          <w:rFonts w:ascii="Arial" w:hAnsi="Arial" w:cs="Arial"/>
          <w:b/>
        </w:rPr>
        <w:t>staff at the point or merger</w:t>
      </w:r>
      <w:r w:rsidR="00A75C39">
        <w:rPr>
          <w:rFonts w:ascii="Arial" w:hAnsi="Arial" w:cs="Arial"/>
        </w:rPr>
        <w:t xml:space="preserve"> </w:t>
      </w:r>
      <w:r w:rsidRPr="00A75C39">
        <w:rPr>
          <w:rFonts w:ascii="Arial" w:hAnsi="Arial" w:cs="Arial"/>
        </w:rPr>
        <w:t>- 6097 female / 1620 male (79% to 21%)</w:t>
      </w:r>
    </w:p>
    <w:p w:rsidR="000B10B2" w:rsidRPr="00A75C39" w:rsidRDefault="000B10B2" w:rsidP="004135C2">
      <w:pPr>
        <w:pStyle w:val="ListParagraph"/>
        <w:numPr>
          <w:ilvl w:val="0"/>
          <w:numId w:val="4"/>
        </w:numPr>
        <w:rPr>
          <w:rFonts w:ascii="Arial" w:hAnsi="Arial" w:cs="Arial"/>
        </w:rPr>
      </w:pPr>
      <w:r w:rsidRPr="00A75C39">
        <w:rPr>
          <w:rFonts w:ascii="Arial" w:hAnsi="Arial" w:cs="Arial"/>
          <w:b/>
        </w:rPr>
        <w:t xml:space="preserve">L&amp;D </w:t>
      </w:r>
      <w:r w:rsidRPr="00A75C39">
        <w:rPr>
          <w:rFonts w:ascii="Arial" w:hAnsi="Arial" w:cs="Arial"/>
        </w:rPr>
        <w:t xml:space="preserve">had </w:t>
      </w:r>
      <w:r w:rsidRPr="00A75C39">
        <w:rPr>
          <w:rFonts w:ascii="Arial" w:hAnsi="Arial" w:cs="Arial"/>
          <w:b/>
        </w:rPr>
        <w:t>4649</w:t>
      </w:r>
      <w:r w:rsidRPr="00A75C39">
        <w:rPr>
          <w:rFonts w:ascii="Arial" w:hAnsi="Arial" w:cs="Arial"/>
        </w:rPr>
        <w:t xml:space="preserve"> staff - 3722 female and 927 male staff (ratio 80.1% to 19.9%)</w:t>
      </w:r>
    </w:p>
    <w:p w:rsidR="000B10B2" w:rsidRPr="00A75C39" w:rsidRDefault="000B10B2" w:rsidP="004135C2">
      <w:pPr>
        <w:pStyle w:val="ListParagraph"/>
        <w:numPr>
          <w:ilvl w:val="0"/>
          <w:numId w:val="4"/>
        </w:numPr>
        <w:rPr>
          <w:rFonts w:ascii="Arial" w:hAnsi="Arial" w:cs="Arial"/>
          <w:i/>
        </w:rPr>
      </w:pPr>
      <w:r w:rsidRPr="00A75C39">
        <w:rPr>
          <w:rFonts w:ascii="Arial" w:hAnsi="Arial" w:cs="Arial"/>
          <w:b/>
        </w:rPr>
        <w:t>BH</w:t>
      </w:r>
      <w:r w:rsidRPr="00A75C39">
        <w:rPr>
          <w:rFonts w:ascii="Arial" w:hAnsi="Arial" w:cs="Arial"/>
        </w:rPr>
        <w:t xml:space="preserve"> had </w:t>
      </w:r>
      <w:r w:rsidRPr="00A75C39">
        <w:rPr>
          <w:rFonts w:ascii="Arial" w:hAnsi="Arial" w:cs="Arial"/>
          <w:b/>
        </w:rPr>
        <w:t xml:space="preserve">3068 </w:t>
      </w:r>
      <w:r w:rsidRPr="00A75C39">
        <w:rPr>
          <w:rFonts w:ascii="Arial" w:hAnsi="Arial" w:cs="Arial"/>
        </w:rPr>
        <w:t>staff</w:t>
      </w:r>
      <w:r w:rsidRPr="00A75C39">
        <w:rPr>
          <w:rFonts w:ascii="Arial" w:hAnsi="Arial" w:cs="Arial"/>
          <w:b/>
        </w:rPr>
        <w:t xml:space="preserve"> - </w:t>
      </w:r>
      <w:r w:rsidRPr="00A75C39">
        <w:rPr>
          <w:rFonts w:ascii="Arial" w:hAnsi="Arial" w:cs="Arial"/>
        </w:rPr>
        <w:t xml:space="preserve">2375 female and 693 male staff (ratio 77.4% to 22.59%). </w:t>
      </w:r>
      <w:r w:rsidRPr="00A75C39">
        <w:rPr>
          <w:rFonts w:ascii="Arial" w:hAnsi="Arial" w:cs="Arial"/>
          <w:b/>
          <w:i/>
        </w:rPr>
        <w:t xml:space="preserve">NB - </w:t>
      </w:r>
      <w:r w:rsidR="00A75C39">
        <w:rPr>
          <w:rFonts w:ascii="Arial" w:hAnsi="Arial" w:cs="Arial"/>
          <w:i/>
        </w:rPr>
        <w:t xml:space="preserve">BH included Bank </w:t>
      </w:r>
      <w:r w:rsidRPr="00A75C39">
        <w:rPr>
          <w:rFonts w:ascii="Arial" w:hAnsi="Arial" w:cs="Arial"/>
          <w:i/>
        </w:rPr>
        <w:t>staff who worked in the 12 week</w:t>
      </w:r>
      <w:r w:rsidR="00A75C39">
        <w:rPr>
          <w:rFonts w:ascii="Arial" w:hAnsi="Arial" w:cs="Arial"/>
          <w:i/>
        </w:rPr>
        <w:t>s</w:t>
      </w:r>
      <w:r w:rsidRPr="00A75C39">
        <w:rPr>
          <w:rFonts w:ascii="Arial" w:hAnsi="Arial" w:cs="Arial"/>
          <w:i/>
        </w:rPr>
        <w:t xml:space="preserve"> preceding March 31 2020 </w:t>
      </w:r>
      <w:r w:rsidRPr="00A75C39">
        <w:rPr>
          <w:rFonts w:ascii="Arial" w:hAnsi="Arial" w:cs="Arial"/>
          <w:b/>
          <w:i/>
        </w:rPr>
        <w:t xml:space="preserve">(circa 169 staff) </w:t>
      </w:r>
    </w:p>
    <w:p w:rsidR="00A75C39" w:rsidRDefault="00861460" w:rsidP="008A2632">
      <w:pPr>
        <w:rPr>
          <w:rFonts w:ascii="Arial" w:hAnsi="Arial" w:cs="Arial"/>
        </w:rPr>
      </w:pPr>
      <w:r w:rsidRPr="00A75C39">
        <w:rPr>
          <w:rFonts w:ascii="Arial" w:hAnsi="Arial" w:cs="Arial"/>
          <w:b/>
        </w:rPr>
        <w:t>Gender Split</w:t>
      </w:r>
      <w:r w:rsidR="00A75C39">
        <w:rPr>
          <w:rFonts w:ascii="Arial" w:hAnsi="Arial" w:cs="Arial"/>
        </w:rPr>
        <w:t xml:space="preserve">. </w:t>
      </w:r>
    </w:p>
    <w:p w:rsidR="00A75C39" w:rsidRPr="00A75C39" w:rsidRDefault="00A75C39" w:rsidP="004135C2">
      <w:pPr>
        <w:pStyle w:val="ListParagraph"/>
        <w:numPr>
          <w:ilvl w:val="0"/>
          <w:numId w:val="10"/>
        </w:numPr>
        <w:rPr>
          <w:rFonts w:ascii="Arial" w:hAnsi="Arial" w:cs="Arial"/>
          <w:b/>
        </w:rPr>
      </w:pPr>
      <w:r w:rsidRPr="00A75C39">
        <w:rPr>
          <w:rFonts w:ascii="Arial" w:hAnsi="Arial" w:cs="Arial"/>
        </w:rPr>
        <w:t xml:space="preserve">On the sites pre-merger, </w:t>
      </w:r>
      <w:r w:rsidR="00582903" w:rsidRPr="00A75C39">
        <w:rPr>
          <w:rFonts w:ascii="Arial" w:hAnsi="Arial" w:cs="Arial"/>
        </w:rPr>
        <w:t>BH ha</w:t>
      </w:r>
      <w:r w:rsidR="00636C6F" w:rsidRPr="00A75C39">
        <w:rPr>
          <w:rFonts w:ascii="Arial" w:hAnsi="Arial" w:cs="Arial"/>
        </w:rPr>
        <w:t>d</w:t>
      </w:r>
      <w:r w:rsidR="00582903" w:rsidRPr="00A75C39">
        <w:rPr>
          <w:rFonts w:ascii="Arial" w:hAnsi="Arial" w:cs="Arial"/>
        </w:rPr>
        <w:t xml:space="preserve"> a pattern of circa 77% female to 23% male</w:t>
      </w:r>
      <w:r w:rsidRPr="00A75C39">
        <w:rPr>
          <w:rFonts w:ascii="Arial" w:hAnsi="Arial" w:cs="Arial"/>
        </w:rPr>
        <w:t xml:space="preserve"> with the </w:t>
      </w:r>
      <w:r w:rsidR="00357CAD" w:rsidRPr="00A75C39">
        <w:rPr>
          <w:rFonts w:ascii="Arial" w:hAnsi="Arial" w:cs="Arial"/>
        </w:rPr>
        <w:t xml:space="preserve">L&amp;D </w:t>
      </w:r>
      <w:r w:rsidRPr="00A75C39">
        <w:rPr>
          <w:rFonts w:ascii="Arial" w:hAnsi="Arial" w:cs="Arial"/>
        </w:rPr>
        <w:t>at</w:t>
      </w:r>
      <w:r w:rsidR="00636C6F" w:rsidRPr="00A75C39">
        <w:rPr>
          <w:rFonts w:ascii="Arial" w:hAnsi="Arial" w:cs="Arial"/>
        </w:rPr>
        <w:t xml:space="preserve"> circa </w:t>
      </w:r>
      <w:r w:rsidR="00357CAD" w:rsidRPr="00A75C39">
        <w:rPr>
          <w:rFonts w:ascii="Arial" w:hAnsi="Arial" w:cs="Arial"/>
        </w:rPr>
        <w:t xml:space="preserve">80% female to 20% male. </w:t>
      </w:r>
    </w:p>
    <w:p w:rsidR="00A75C39" w:rsidRPr="00A75C39" w:rsidRDefault="00357CAD" w:rsidP="004135C2">
      <w:pPr>
        <w:pStyle w:val="ListParagraph"/>
        <w:numPr>
          <w:ilvl w:val="0"/>
          <w:numId w:val="10"/>
        </w:numPr>
        <w:rPr>
          <w:rFonts w:ascii="Arial" w:hAnsi="Arial" w:cs="Arial"/>
          <w:b/>
        </w:rPr>
      </w:pPr>
      <w:r w:rsidRPr="00A75C39">
        <w:rPr>
          <w:rFonts w:ascii="Arial" w:hAnsi="Arial" w:cs="Arial"/>
          <w:b/>
        </w:rPr>
        <w:t xml:space="preserve">In </w:t>
      </w:r>
      <w:r w:rsidR="00A75C39" w:rsidRPr="00A75C39">
        <w:rPr>
          <w:rFonts w:ascii="Arial" w:hAnsi="Arial" w:cs="Arial"/>
          <w:b/>
        </w:rPr>
        <w:t xml:space="preserve">YE 2021and 2022 post merger, </w:t>
      </w:r>
      <w:r w:rsidR="00DA6A91" w:rsidRPr="00A75C39">
        <w:rPr>
          <w:rFonts w:ascii="Arial" w:hAnsi="Arial" w:cs="Arial"/>
          <w:b/>
        </w:rPr>
        <w:t xml:space="preserve">BHFT </w:t>
      </w:r>
      <w:r w:rsidR="00B54E4B" w:rsidRPr="00A75C39">
        <w:rPr>
          <w:rFonts w:ascii="Arial" w:hAnsi="Arial" w:cs="Arial"/>
          <w:b/>
        </w:rPr>
        <w:t>is</w:t>
      </w:r>
      <w:r w:rsidR="00DA6A91" w:rsidRPr="00A75C39">
        <w:rPr>
          <w:rFonts w:ascii="Arial" w:hAnsi="Arial" w:cs="Arial"/>
          <w:b/>
        </w:rPr>
        <w:t xml:space="preserve"> 78.4% </w:t>
      </w:r>
      <w:r w:rsidR="008F1F75" w:rsidRPr="00A75C39">
        <w:rPr>
          <w:rFonts w:ascii="Arial" w:hAnsi="Arial" w:cs="Arial"/>
          <w:b/>
        </w:rPr>
        <w:t xml:space="preserve">female </w:t>
      </w:r>
      <w:r w:rsidR="00DA6A91" w:rsidRPr="00A75C39">
        <w:rPr>
          <w:rFonts w:ascii="Arial" w:hAnsi="Arial" w:cs="Arial"/>
          <w:b/>
        </w:rPr>
        <w:t>to 21.6%</w:t>
      </w:r>
      <w:r w:rsidR="00DA6A91" w:rsidRPr="00A75C39">
        <w:rPr>
          <w:rFonts w:ascii="Arial" w:hAnsi="Arial" w:cs="Arial"/>
        </w:rPr>
        <w:t xml:space="preserve"> </w:t>
      </w:r>
      <w:r w:rsidR="00DA6A91" w:rsidRPr="00A75C39">
        <w:rPr>
          <w:rFonts w:ascii="Arial" w:hAnsi="Arial" w:cs="Arial"/>
          <w:b/>
        </w:rPr>
        <w:t>male</w:t>
      </w:r>
      <w:r w:rsidR="00DA6A91" w:rsidRPr="00A75C39">
        <w:rPr>
          <w:rFonts w:ascii="Arial" w:hAnsi="Arial" w:cs="Arial"/>
        </w:rPr>
        <w:t xml:space="preserve"> </w:t>
      </w:r>
      <w:r w:rsidR="00B54E4B" w:rsidRPr="00A75C39">
        <w:rPr>
          <w:rFonts w:ascii="Arial" w:hAnsi="Arial" w:cs="Arial"/>
        </w:rPr>
        <w:t xml:space="preserve">– </w:t>
      </w:r>
      <w:r w:rsidRPr="00A75C39">
        <w:rPr>
          <w:rFonts w:ascii="Arial" w:hAnsi="Arial" w:cs="Arial"/>
        </w:rPr>
        <w:t xml:space="preserve">which is </w:t>
      </w:r>
      <w:r w:rsidR="00DA6A91" w:rsidRPr="00A75C39">
        <w:rPr>
          <w:rFonts w:ascii="Arial" w:hAnsi="Arial" w:cs="Arial"/>
        </w:rPr>
        <w:t>a balance of the</w:t>
      </w:r>
      <w:r w:rsidR="00C62924" w:rsidRPr="00A75C39">
        <w:rPr>
          <w:rFonts w:ascii="Arial" w:hAnsi="Arial" w:cs="Arial"/>
        </w:rPr>
        <w:t xml:space="preserve"> </w:t>
      </w:r>
      <w:r w:rsidR="008F1F75" w:rsidRPr="00A75C39">
        <w:rPr>
          <w:rFonts w:ascii="Arial" w:hAnsi="Arial" w:cs="Arial"/>
        </w:rPr>
        <w:t xml:space="preserve">gender profile </w:t>
      </w:r>
      <w:r w:rsidR="00C62924" w:rsidRPr="00A75C39">
        <w:rPr>
          <w:rFonts w:ascii="Arial" w:hAnsi="Arial" w:cs="Arial"/>
        </w:rPr>
        <w:t>data for BH and LDH</w:t>
      </w:r>
      <w:r w:rsidR="00A75C39">
        <w:rPr>
          <w:rFonts w:ascii="Arial" w:hAnsi="Arial" w:cs="Arial"/>
        </w:rPr>
        <w:t>.</w:t>
      </w:r>
    </w:p>
    <w:p w:rsidR="008F1F75" w:rsidRPr="00A75C39" w:rsidRDefault="00B54E4B" w:rsidP="004135C2">
      <w:pPr>
        <w:pStyle w:val="ListParagraph"/>
        <w:numPr>
          <w:ilvl w:val="0"/>
          <w:numId w:val="10"/>
        </w:numPr>
        <w:rPr>
          <w:rFonts w:ascii="Arial" w:hAnsi="Arial" w:cs="Arial"/>
          <w:b/>
        </w:rPr>
      </w:pPr>
      <w:r w:rsidRPr="00A75C39">
        <w:rPr>
          <w:rFonts w:ascii="Arial" w:hAnsi="Arial" w:cs="Arial"/>
          <w:b/>
        </w:rPr>
        <w:t xml:space="preserve">The NHS ratio is mostly 77% to 23%. </w:t>
      </w:r>
      <w:r w:rsidR="008F1F75" w:rsidRPr="00A75C39">
        <w:rPr>
          <w:rFonts w:ascii="Arial" w:hAnsi="Arial" w:cs="Arial"/>
        </w:rPr>
        <w:t xml:space="preserve">The largest proportion of employees are nurses </w:t>
      </w:r>
      <w:r w:rsidR="00357CAD" w:rsidRPr="00A75C39">
        <w:rPr>
          <w:rFonts w:ascii="Arial" w:hAnsi="Arial" w:cs="Arial"/>
        </w:rPr>
        <w:t xml:space="preserve">or </w:t>
      </w:r>
      <w:r w:rsidR="008F1F75" w:rsidRPr="00A75C39">
        <w:rPr>
          <w:rFonts w:ascii="Arial" w:hAnsi="Arial" w:cs="Arial"/>
        </w:rPr>
        <w:t>nursing support staff such as healthcare assistants, the majority of which are female.</w:t>
      </w:r>
    </w:p>
    <w:p w:rsidR="008B1E8A" w:rsidRDefault="008B1E8A" w:rsidP="00160849">
      <w:pPr>
        <w:jc w:val="center"/>
        <w:rPr>
          <w:rFonts w:ascii="Arial" w:hAnsi="Arial" w:cs="Arial"/>
          <w:b/>
          <w:highlight w:val="lightGray"/>
        </w:rPr>
      </w:pPr>
    </w:p>
    <w:p w:rsidR="00160849" w:rsidRPr="008B1E8A" w:rsidRDefault="00160849" w:rsidP="00160849">
      <w:pPr>
        <w:jc w:val="center"/>
        <w:rPr>
          <w:rFonts w:ascii="Arial" w:hAnsi="Arial" w:cs="Arial"/>
          <w:b/>
        </w:rPr>
      </w:pPr>
      <w:r w:rsidRPr="008B1E8A">
        <w:rPr>
          <w:rFonts w:ascii="Arial" w:hAnsi="Arial" w:cs="Arial"/>
          <w:b/>
          <w:highlight w:val="lightGray"/>
        </w:rPr>
        <w:t xml:space="preserve">NARRATIVE AND ANALYSIS </w:t>
      </w:r>
      <w:r w:rsidR="00B12C62" w:rsidRPr="008B1E8A">
        <w:rPr>
          <w:rFonts w:ascii="Arial" w:hAnsi="Arial" w:cs="Arial"/>
          <w:b/>
          <w:highlight w:val="lightGray"/>
        </w:rPr>
        <w:t>BHFT</w:t>
      </w:r>
      <w:r w:rsidR="00B12C62" w:rsidRPr="008B1E8A">
        <w:rPr>
          <w:rFonts w:ascii="Arial" w:hAnsi="Arial" w:cs="Arial"/>
          <w:b/>
        </w:rPr>
        <w:t xml:space="preserve"> </w:t>
      </w:r>
    </w:p>
    <w:p w:rsidR="002406E4" w:rsidRPr="00A75C39" w:rsidRDefault="002406E4" w:rsidP="002406E4">
      <w:pPr>
        <w:rPr>
          <w:rFonts w:ascii="Arial" w:hAnsi="Arial" w:cs="Arial"/>
        </w:rPr>
      </w:pPr>
      <w:r w:rsidRPr="00A75C39">
        <w:rPr>
          <w:rFonts w:ascii="Arial" w:hAnsi="Arial" w:cs="Arial"/>
        </w:rPr>
        <w:t xml:space="preserve">By undertaking additional analysis the Trust can better understand and share where the gender pay gaps mainly occur, for instance not just by the pay quartiles but by band and by staff group.  </w:t>
      </w:r>
    </w:p>
    <w:p w:rsidR="00B247E7" w:rsidRPr="00A75C39" w:rsidRDefault="00B247E7" w:rsidP="00B247E7">
      <w:pPr>
        <w:rPr>
          <w:rFonts w:ascii="Arial" w:hAnsi="Arial" w:cs="Arial"/>
          <w:b/>
        </w:rPr>
      </w:pPr>
      <w:r w:rsidRPr="00A75C39">
        <w:rPr>
          <w:rFonts w:ascii="Arial" w:hAnsi="Arial" w:cs="Arial"/>
          <w:b/>
          <w:highlight w:val="lightGray"/>
        </w:rPr>
        <w:t>GENDER PAY GAP RESULTS (For sites 2016 to 2021 and Trust wide 2021</w:t>
      </w:r>
      <w:r w:rsidR="00A75C39">
        <w:rPr>
          <w:rFonts w:ascii="Arial" w:hAnsi="Arial" w:cs="Arial"/>
          <w:b/>
          <w:highlight w:val="lightGray"/>
        </w:rPr>
        <w:t>to 2022</w:t>
      </w:r>
      <w:r w:rsidRPr="00A75C39">
        <w:rPr>
          <w:rFonts w:ascii="Arial" w:hAnsi="Arial" w:cs="Arial"/>
          <w:b/>
          <w:highlight w:val="lightGray"/>
        </w:rPr>
        <w:t>)</w:t>
      </w:r>
    </w:p>
    <w:tbl>
      <w:tblPr>
        <w:tblW w:w="8530" w:type="dxa"/>
        <w:tblInd w:w="-10" w:type="dxa"/>
        <w:tblLook w:val="04A0" w:firstRow="1" w:lastRow="0" w:firstColumn="1" w:lastColumn="0" w:noHBand="0" w:noVBand="1"/>
      </w:tblPr>
      <w:tblGrid>
        <w:gridCol w:w="1171"/>
        <w:gridCol w:w="1264"/>
        <w:gridCol w:w="1134"/>
        <w:gridCol w:w="1418"/>
        <w:gridCol w:w="1275"/>
        <w:gridCol w:w="1134"/>
        <w:gridCol w:w="1134"/>
      </w:tblGrid>
      <w:tr w:rsidR="00A75C39" w:rsidRPr="00A75C39" w:rsidTr="00D067E4">
        <w:trPr>
          <w:trHeight w:val="294"/>
        </w:trPr>
        <w:tc>
          <w:tcPr>
            <w:tcW w:w="8530" w:type="dxa"/>
            <w:gridSpan w:val="7"/>
            <w:tcBorders>
              <w:top w:val="single" w:sz="8" w:space="0" w:color="auto"/>
              <w:left w:val="single" w:sz="8" w:space="0" w:color="auto"/>
              <w:bottom w:val="nil"/>
              <w:right w:val="single" w:sz="8" w:space="0" w:color="000000"/>
            </w:tcBorders>
            <w:shd w:val="clear" w:color="auto" w:fill="8DB3E2" w:themeFill="text2" w:themeFillTint="66"/>
            <w:noWrap/>
            <w:vAlign w:val="bottom"/>
            <w:hideMark/>
          </w:tcPr>
          <w:p w:rsidR="00B247E7" w:rsidRPr="00A75C39" w:rsidRDefault="00A75C39" w:rsidP="00A75C39">
            <w:pPr>
              <w:spacing w:after="0" w:line="240" w:lineRule="auto"/>
              <w:rPr>
                <w:rFonts w:ascii="Calibri" w:eastAsia="Times New Roman" w:hAnsi="Calibri" w:cs="Calibri"/>
                <w:b/>
                <w:bCs/>
                <w:lang w:eastAsia="en-GB"/>
              </w:rPr>
            </w:pPr>
            <w:r w:rsidRPr="00A75C39">
              <w:rPr>
                <w:rFonts w:ascii="Calibri" w:eastAsia="Times New Roman" w:hAnsi="Calibri" w:cs="Calibri"/>
                <w:b/>
                <w:bCs/>
                <w:lang w:eastAsia="en-GB"/>
              </w:rPr>
              <w:t>SIX</w:t>
            </w:r>
            <w:r w:rsidR="00B247E7" w:rsidRPr="00A75C39">
              <w:rPr>
                <w:rFonts w:ascii="Calibri" w:eastAsia="Times New Roman" w:hAnsi="Calibri" w:cs="Calibri"/>
                <w:b/>
                <w:bCs/>
                <w:lang w:eastAsia="en-GB"/>
              </w:rPr>
              <w:t xml:space="preserve"> YEARS RESULTS FOR MEAN AND MEDIAN PAY GAP  2016 to 202</w:t>
            </w:r>
            <w:r w:rsidRPr="00A75C39">
              <w:rPr>
                <w:rFonts w:ascii="Calibri" w:eastAsia="Times New Roman" w:hAnsi="Calibri" w:cs="Calibri"/>
                <w:b/>
                <w:bCs/>
                <w:lang w:eastAsia="en-GB"/>
              </w:rPr>
              <w:t>2</w:t>
            </w:r>
            <w:r w:rsidR="00B247E7" w:rsidRPr="00A75C39">
              <w:rPr>
                <w:rFonts w:ascii="Calibri" w:eastAsia="Times New Roman" w:hAnsi="Calibri" w:cs="Calibri"/>
                <w:b/>
                <w:bCs/>
                <w:lang w:eastAsia="en-GB"/>
              </w:rPr>
              <w:t xml:space="preserve"> data </w:t>
            </w:r>
          </w:p>
        </w:tc>
      </w:tr>
      <w:tr w:rsidR="00A75C39" w:rsidRPr="00A75C39" w:rsidTr="00D067E4">
        <w:trPr>
          <w:trHeight w:val="294"/>
        </w:trPr>
        <w:tc>
          <w:tcPr>
            <w:tcW w:w="1171" w:type="dxa"/>
            <w:vMerge w:val="restart"/>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center"/>
            <w:hideMark/>
          </w:tcPr>
          <w:p w:rsidR="00B247E7" w:rsidRPr="00A75C39" w:rsidRDefault="00B247E7" w:rsidP="00B247E7">
            <w:pPr>
              <w:spacing w:after="0" w:line="240" w:lineRule="auto"/>
              <w:rPr>
                <w:rFonts w:ascii="Calibri" w:eastAsia="Times New Roman" w:hAnsi="Calibri" w:cs="Calibri"/>
                <w:b/>
                <w:bCs/>
                <w:sz w:val="24"/>
                <w:szCs w:val="24"/>
                <w:lang w:eastAsia="en-GB"/>
              </w:rPr>
            </w:pPr>
            <w:r w:rsidRPr="00A75C39">
              <w:rPr>
                <w:rFonts w:ascii="Calibri" w:eastAsia="Times New Roman" w:hAnsi="Calibri" w:cs="Calibri"/>
                <w:b/>
                <w:bCs/>
                <w:sz w:val="24"/>
                <w:szCs w:val="24"/>
                <w:lang w:eastAsia="en-GB"/>
              </w:rPr>
              <w:t xml:space="preserve">DATA @ </w:t>
            </w:r>
          </w:p>
        </w:tc>
        <w:tc>
          <w:tcPr>
            <w:tcW w:w="2398" w:type="dxa"/>
            <w:gridSpan w:val="2"/>
            <w:tcBorders>
              <w:top w:val="single" w:sz="8" w:space="0" w:color="auto"/>
              <w:left w:val="nil"/>
              <w:bottom w:val="single" w:sz="8" w:space="0" w:color="auto"/>
              <w:right w:val="single" w:sz="8" w:space="0" w:color="000000"/>
            </w:tcBorders>
            <w:shd w:val="clear" w:color="auto" w:fill="D6E3BC" w:themeFill="accent3" w:themeFillTint="66"/>
            <w:noWrap/>
            <w:vAlign w:val="bottom"/>
            <w:hideMark/>
          </w:tcPr>
          <w:p w:rsidR="00B247E7" w:rsidRPr="00A75C39" w:rsidRDefault="00B247E7" w:rsidP="00A75C39">
            <w:pPr>
              <w:spacing w:after="0" w:line="240" w:lineRule="auto"/>
              <w:jc w:val="center"/>
              <w:rPr>
                <w:rFonts w:ascii="Calibri" w:eastAsia="Times New Roman" w:hAnsi="Calibri" w:cs="Calibri"/>
                <w:b/>
                <w:bCs/>
                <w:lang w:eastAsia="en-GB"/>
              </w:rPr>
            </w:pPr>
            <w:r w:rsidRPr="00A75C39">
              <w:rPr>
                <w:rFonts w:ascii="Calibri" w:eastAsia="Times New Roman" w:hAnsi="Calibri" w:cs="Calibri"/>
                <w:b/>
                <w:bCs/>
                <w:lang w:eastAsia="en-GB"/>
              </w:rPr>
              <w:t>LUTON PAY GAP %</w:t>
            </w:r>
          </w:p>
        </w:tc>
        <w:tc>
          <w:tcPr>
            <w:tcW w:w="26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247E7" w:rsidRPr="00A75C39" w:rsidRDefault="00B247E7" w:rsidP="00A75C39">
            <w:pPr>
              <w:spacing w:after="0" w:line="240" w:lineRule="auto"/>
              <w:jc w:val="center"/>
              <w:rPr>
                <w:rFonts w:ascii="Calibri" w:eastAsia="Times New Roman" w:hAnsi="Calibri" w:cs="Calibri"/>
                <w:b/>
                <w:bCs/>
                <w:lang w:eastAsia="en-GB"/>
              </w:rPr>
            </w:pPr>
            <w:r w:rsidRPr="00A75C39">
              <w:rPr>
                <w:rFonts w:ascii="Calibri" w:eastAsia="Times New Roman" w:hAnsi="Calibri" w:cs="Calibri"/>
                <w:b/>
                <w:bCs/>
                <w:lang w:eastAsia="en-GB"/>
              </w:rPr>
              <w:t>BEDFORD PAY GAP %</w:t>
            </w:r>
          </w:p>
        </w:tc>
        <w:tc>
          <w:tcPr>
            <w:tcW w:w="2268" w:type="dxa"/>
            <w:gridSpan w:val="2"/>
            <w:tcBorders>
              <w:top w:val="single" w:sz="8" w:space="0" w:color="auto"/>
              <w:left w:val="nil"/>
              <w:bottom w:val="single" w:sz="8" w:space="0" w:color="auto"/>
              <w:right w:val="single" w:sz="8" w:space="0" w:color="000000"/>
            </w:tcBorders>
            <w:shd w:val="clear" w:color="auto" w:fill="8DB3E2" w:themeFill="text2" w:themeFillTint="66"/>
            <w:noWrap/>
            <w:vAlign w:val="bottom"/>
            <w:hideMark/>
          </w:tcPr>
          <w:p w:rsidR="00B247E7" w:rsidRPr="00A75C39" w:rsidRDefault="00B247E7" w:rsidP="00B247E7">
            <w:pPr>
              <w:spacing w:after="0" w:line="240" w:lineRule="auto"/>
              <w:jc w:val="center"/>
              <w:rPr>
                <w:rFonts w:ascii="Calibri" w:eastAsia="Times New Roman" w:hAnsi="Calibri" w:cs="Calibri"/>
                <w:b/>
                <w:bCs/>
                <w:lang w:eastAsia="en-GB"/>
              </w:rPr>
            </w:pPr>
            <w:r w:rsidRPr="00A75C39">
              <w:rPr>
                <w:rFonts w:ascii="Calibri" w:eastAsia="Times New Roman" w:hAnsi="Calibri" w:cs="Calibri"/>
                <w:b/>
                <w:bCs/>
                <w:lang w:eastAsia="en-GB"/>
              </w:rPr>
              <w:t>BHFT PAY GAP %</w:t>
            </w:r>
          </w:p>
        </w:tc>
      </w:tr>
      <w:tr w:rsidR="00A75C39" w:rsidRPr="00A75C39" w:rsidTr="00D067E4">
        <w:trPr>
          <w:trHeight w:val="279"/>
        </w:trPr>
        <w:tc>
          <w:tcPr>
            <w:tcW w:w="1171" w:type="dxa"/>
            <w:vMerge/>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rsidR="00B247E7" w:rsidRPr="00A75C39" w:rsidRDefault="00B247E7" w:rsidP="00B247E7">
            <w:pPr>
              <w:spacing w:after="0" w:line="240" w:lineRule="auto"/>
              <w:rPr>
                <w:rFonts w:ascii="Calibri" w:eastAsia="Times New Roman" w:hAnsi="Calibri" w:cs="Calibri"/>
                <w:b/>
                <w:bCs/>
                <w:sz w:val="24"/>
                <w:szCs w:val="24"/>
                <w:lang w:eastAsia="en-GB"/>
              </w:rPr>
            </w:pPr>
          </w:p>
        </w:tc>
        <w:tc>
          <w:tcPr>
            <w:tcW w:w="1264"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B247E7" w:rsidRPr="00A75C39" w:rsidRDefault="00B247E7" w:rsidP="00B247E7">
            <w:pPr>
              <w:spacing w:after="0" w:line="240" w:lineRule="auto"/>
              <w:jc w:val="center"/>
              <w:rPr>
                <w:rFonts w:ascii="Calibri" w:eastAsia="Times New Roman" w:hAnsi="Calibri" w:cs="Calibri"/>
                <w:b/>
                <w:bCs/>
                <w:lang w:eastAsia="en-GB"/>
              </w:rPr>
            </w:pPr>
            <w:r w:rsidRPr="00A75C39">
              <w:rPr>
                <w:rFonts w:ascii="Calibri" w:eastAsia="Times New Roman" w:hAnsi="Calibri" w:cs="Calibri"/>
                <w:b/>
                <w:bCs/>
                <w:lang w:eastAsia="en-GB"/>
              </w:rPr>
              <w:t xml:space="preserve">MEAN </w:t>
            </w:r>
          </w:p>
        </w:tc>
        <w:tc>
          <w:tcPr>
            <w:tcW w:w="1134"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B247E7" w:rsidRPr="00A75C39" w:rsidRDefault="00B247E7" w:rsidP="00B247E7">
            <w:pPr>
              <w:spacing w:after="0" w:line="240" w:lineRule="auto"/>
              <w:jc w:val="center"/>
              <w:rPr>
                <w:rFonts w:ascii="Calibri" w:eastAsia="Times New Roman" w:hAnsi="Calibri" w:cs="Calibri"/>
                <w:b/>
                <w:bCs/>
                <w:lang w:eastAsia="en-GB"/>
              </w:rPr>
            </w:pPr>
            <w:r w:rsidRPr="00A75C39">
              <w:rPr>
                <w:rFonts w:ascii="Calibri" w:eastAsia="Times New Roman" w:hAnsi="Calibri" w:cs="Calibri"/>
                <w:b/>
                <w:bCs/>
                <w:lang w:eastAsia="en-GB"/>
              </w:rPr>
              <w:t xml:space="preserve">MEDIAN </w:t>
            </w:r>
          </w:p>
        </w:tc>
        <w:tc>
          <w:tcPr>
            <w:tcW w:w="1418"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B247E7" w:rsidRPr="00A75C39" w:rsidRDefault="00B247E7" w:rsidP="00B247E7">
            <w:pPr>
              <w:spacing w:after="0" w:line="240" w:lineRule="auto"/>
              <w:jc w:val="center"/>
              <w:rPr>
                <w:rFonts w:ascii="Calibri" w:eastAsia="Times New Roman" w:hAnsi="Calibri" w:cs="Calibri"/>
                <w:b/>
                <w:bCs/>
                <w:lang w:eastAsia="en-GB"/>
              </w:rPr>
            </w:pPr>
            <w:r w:rsidRPr="00A75C39">
              <w:rPr>
                <w:rFonts w:ascii="Calibri" w:eastAsia="Times New Roman" w:hAnsi="Calibri" w:cs="Calibri"/>
                <w:b/>
                <w:bCs/>
                <w:lang w:eastAsia="en-GB"/>
              </w:rPr>
              <w:t xml:space="preserve">MEAN </w:t>
            </w:r>
          </w:p>
        </w:tc>
        <w:tc>
          <w:tcPr>
            <w:tcW w:w="1275"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B247E7" w:rsidRPr="00A75C39" w:rsidRDefault="00B247E7" w:rsidP="00B247E7">
            <w:pPr>
              <w:spacing w:after="0" w:line="240" w:lineRule="auto"/>
              <w:jc w:val="center"/>
              <w:rPr>
                <w:rFonts w:ascii="Calibri" w:eastAsia="Times New Roman" w:hAnsi="Calibri" w:cs="Calibri"/>
                <w:b/>
                <w:bCs/>
                <w:lang w:eastAsia="en-GB"/>
              </w:rPr>
            </w:pPr>
            <w:r w:rsidRPr="00A75C39">
              <w:rPr>
                <w:rFonts w:ascii="Calibri" w:eastAsia="Times New Roman" w:hAnsi="Calibri" w:cs="Calibri"/>
                <w:b/>
                <w:bCs/>
                <w:lang w:eastAsia="en-GB"/>
              </w:rPr>
              <w:t>MEDIAN</w:t>
            </w:r>
          </w:p>
        </w:tc>
        <w:tc>
          <w:tcPr>
            <w:tcW w:w="1134"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B247E7" w:rsidRPr="00A75C39" w:rsidRDefault="00B247E7" w:rsidP="00B247E7">
            <w:pPr>
              <w:spacing w:after="0" w:line="240" w:lineRule="auto"/>
              <w:jc w:val="center"/>
              <w:rPr>
                <w:rFonts w:ascii="Calibri" w:eastAsia="Times New Roman" w:hAnsi="Calibri" w:cs="Calibri"/>
                <w:b/>
                <w:bCs/>
                <w:lang w:eastAsia="en-GB"/>
              </w:rPr>
            </w:pPr>
            <w:r w:rsidRPr="00A75C39">
              <w:rPr>
                <w:rFonts w:ascii="Calibri" w:eastAsia="Times New Roman" w:hAnsi="Calibri" w:cs="Calibri"/>
                <w:b/>
                <w:bCs/>
                <w:lang w:eastAsia="en-GB"/>
              </w:rPr>
              <w:t xml:space="preserve">MEAN </w:t>
            </w:r>
          </w:p>
        </w:tc>
        <w:tc>
          <w:tcPr>
            <w:tcW w:w="1134" w:type="dxa"/>
            <w:tcBorders>
              <w:top w:val="single" w:sz="8" w:space="0" w:color="auto"/>
              <w:left w:val="nil"/>
              <w:bottom w:val="single" w:sz="8" w:space="0" w:color="auto"/>
              <w:right w:val="single" w:sz="8" w:space="0" w:color="auto"/>
            </w:tcBorders>
            <w:shd w:val="clear" w:color="auto" w:fill="8DB3E2" w:themeFill="text2" w:themeFillTint="66"/>
            <w:vAlign w:val="center"/>
            <w:hideMark/>
          </w:tcPr>
          <w:p w:rsidR="00B247E7" w:rsidRPr="00A75C39" w:rsidRDefault="00B247E7" w:rsidP="00B247E7">
            <w:pPr>
              <w:spacing w:after="0" w:line="240" w:lineRule="auto"/>
              <w:jc w:val="center"/>
              <w:rPr>
                <w:rFonts w:ascii="Calibri" w:eastAsia="Times New Roman" w:hAnsi="Calibri" w:cs="Calibri"/>
                <w:b/>
                <w:bCs/>
                <w:lang w:eastAsia="en-GB"/>
              </w:rPr>
            </w:pPr>
            <w:r w:rsidRPr="00A75C39">
              <w:rPr>
                <w:rFonts w:ascii="Calibri" w:eastAsia="Times New Roman" w:hAnsi="Calibri" w:cs="Calibri"/>
                <w:b/>
                <w:bCs/>
                <w:lang w:eastAsia="en-GB"/>
              </w:rPr>
              <w:t xml:space="preserve">MEDIAN </w:t>
            </w:r>
          </w:p>
        </w:tc>
      </w:tr>
      <w:tr w:rsidR="00B247E7" w:rsidRPr="00A75C39" w:rsidTr="00D067E4">
        <w:trPr>
          <w:trHeight w:val="320"/>
        </w:trPr>
        <w:tc>
          <w:tcPr>
            <w:tcW w:w="1171" w:type="dxa"/>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center"/>
            <w:hideMark/>
          </w:tcPr>
          <w:p w:rsidR="00B247E7" w:rsidRPr="00A75C39" w:rsidRDefault="00B247E7" w:rsidP="00B247E7">
            <w:pPr>
              <w:spacing w:after="0" w:line="240" w:lineRule="auto"/>
              <w:rPr>
                <w:rFonts w:ascii="Calibri" w:eastAsia="Times New Roman" w:hAnsi="Calibri" w:cs="Calibri"/>
                <w:b/>
                <w:sz w:val="24"/>
                <w:szCs w:val="24"/>
                <w:lang w:eastAsia="en-GB"/>
              </w:rPr>
            </w:pPr>
            <w:r w:rsidRPr="00A75C39">
              <w:rPr>
                <w:rFonts w:ascii="Calibri" w:eastAsia="Times New Roman" w:hAnsi="Calibri" w:cs="Calibri"/>
                <w:b/>
                <w:sz w:val="24"/>
                <w:szCs w:val="24"/>
                <w:lang w:eastAsia="en-GB"/>
              </w:rPr>
              <w:t xml:space="preserve">YE 2017 </w:t>
            </w:r>
          </w:p>
        </w:tc>
        <w:tc>
          <w:tcPr>
            <w:tcW w:w="1264" w:type="dxa"/>
            <w:tcBorders>
              <w:top w:val="nil"/>
              <w:left w:val="nil"/>
              <w:bottom w:val="single" w:sz="8" w:space="0" w:color="auto"/>
              <w:right w:val="single" w:sz="8" w:space="0" w:color="auto"/>
            </w:tcBorders>
            <w:shd w:val="clear" w:color="auto" w:fill="auto"/>
            <w:noWrap/>
            <w:vAlign w:val="center"/>
            <w:hideMark/>
          </w:tcPr>
          <w:p w:rsidR="00B247E7" w:rsidRPr="00A75C39" w:rsidRDefault="00B247E7" w:rsidP="00B247E7">
            <w:pPr>
              <w:spacing w:after="0" w:line="240" w:lineRule="auto"/>
              <w:jc w:val="right"/>
              <w:rPr>
                <w:rFonts w:ascii="Calibri" w:eastAsia="Times New Roman" w:hAnsi="Calibri" w:cs="Calibri"/>
                <w:sz w:val="24"/>
                <w:szCs w:val="24"/>
                <w:lang w:eastAsia="en-GB"/>
              </w:rPr>
            </w:pPr>
            <w:r w:rsidRPr="00A75C39">
              <w:rPr>
                <w:rFonts w:ascii="Calibri" w:eastAsia="Times New Roman" w:hAnsi="Calibri" w:cs="Calibri"/>
                <w:sz w:val="24"/>
                <w:szCs w:val="24"/>
                <w:lang w:eastAsia="en-GB"/>
              </w:rPr>
              <w:t>29.90%</w:t>
            </w:r>
          </w:p>
        </w:tc>
        <w:tc>
          <w:tcPr>
            <w:tcW w:w="1134" w:type="dxa"/>
            <w:tcBorders>
              <w:top w:val="nil"/>
              <w:left w:val="nil"/>
              <w:bottom w:val="single" w:sz="8" w:space="0" w:color="auto"/>
              <w:right w:val="single" w:sz="8" w:space="0" w:color="auto"/>
            </w:tcBorders>
            <w:shd w:val="clear" w:color="auto" w:fill="auto"/>
            <w:noWrap/>
            <w:vAlign w:val="center"/>
            <w:hideMark/>
          </w:tcPr>
          <w:p w:rsidR="00B247E7" w:rsidRPr="00A75C39" w:rsidRDefault="00B247E7" w:rsidP="00B247E7">
            <w:pPr>
              <w:spacing w:after="0" w:line="240" w:lineRule="auto"/>
              <w:jc w:val="right"/>
              <w:rPr>
                <w:rFonts w:ascii="Calibri" w:eastAsia="Times New Roman" w:hAnsi="Calibri" w:cs="Calibri"/>
                <w:sz w:val="24"/>
                <w:szCs w:val="24"/>
                <w:lang w:eastAsia="en-GB"/>
              </w:rPr>
            </w:pPr>
            <w:r w:rsidRPr="00A75C39">
              <w:rPr>
                <w:rFonts w:ascii="Calibri" w:eastAsia="Times New Roman" w:hAnsi="Calibri" w:cs="Calibri"/>
                <w:sz w:val="24"/>
                <w:szCs w:val="24"/>
                <w:lang w:eastAsia="en-GB"/>
              </w:rPr>
              <w:t>17.40%</w:t>
            </w:r>
          </w:p>
        </w:tc>
        <w:tc>
          <w:tcPr>
            <w:tcW w:w="1418" w:type="dxa"/>
            <w:tcBorders>
              <w:top w:val="nil"/>
              <w:left w:val="nil"/>
              <w:bottom w:val="single" w:sz="8" w:space="0" w:color="auto"/>
              <w:right w:val="single" w:sz="8" w:space="0" w:color="auto"/>
            </w:tcBorders>
            <w:shd w:val="clear" w:color="auto" w:fill="auto"/>
            <w:noWrap/>
            <w:vAlign w:val="center"/>
            <w:hideMark/>
          </w:tcPr>
          <w:p w:rsidR="00B247E7" w:rsidRPr="00A75C39" w:rsidRDefault="00B247E7" w:rsidP="00B247E7">
            <w:pPr>
              <w:spacing w:after="0" w:line="240" w:lineRule="auto"/>
              <w:jc w:val="right"/>
              <w:rPr>
                <w:rFonts w:ascii="Calibri" w:eastAsia="Times New Roman" w:hAnsi="Calibri" w:cs="Calibri"/>
                <w:sz w:val="24"/>
                <w:szCs w:val="24"/>
                <w:lang w:eastAsia="en-GB"/>
              </w:rPr>
            </w:pPr>
            <w:r w:rsidRPr="00A75C39">
              <w:rPr>
                <w:rFonts w:ascii="Calibri" w:eastAsia="Times New Roman" w:hAnsi="Calibri" w:cs="Calibri"/>
                <w:sz w:val="24"/>
                <w:szCs w:val="24"/>
                <w:lang w:eastAsia="en-GB"/>
              </w:rPr>
              <w:t>28.96%</w:t>
            </w:r>
          </w:p>
        </w:tc>
        <w:tc>
          <w:tcPr>
            <w:tcW w:w="1275" w:type="dxa"/>
            <w:tcBorders>
              <w:top w:val="nil"/>
              <w:left w:val="nil"/>
              <w:bottom w:val="single" w:sz="8" w:space="0" w:color="auto"/>
              <w:right w:val="single" w:sz="8" w:space="0" w:color="auto"/>
            </w:tcBorders>
            <w:shd w:val="clear" w:color="auto" w:fill="auto"/>
            <w:noWrap/>
            <w:vAlign w:val="bottom"/>
            <w:hideMark/>
          </w:tcPr>
          <w:p w:rsidR="00B247E7" w:rsidRPr="00A75C39" w:rsidRDefault="00B247E7" w:rsidP="00B247E7">
            <w:pPr>
              <w:spacing w:after="0" w:line="240" w:lineRule="auto"/>
              <w:jc w:val="right"/>
              <w:rPr>
                <w:rFonts w:ascii="Calibri" w:eastAsia="Times New Roman" w:hAnsi="Calibri" w:cs="Calibri"/>
                <w:sz w:val="24"/>
                <w:szCs w:val="24"/>
                <w:lang w:eastAsia="en-GB"/>
              </w:rPr>
            </w:pPr>
            <w:r w:rsidRPr="00A75C39">
              <w:rPr>
                <w:rFonts w:ascii="Calibri" w:eastAsia="Times New Roman" w:hAnsi="Calibri" w:cs="Calibri"/>
                <w:sz w:val="24"/>
                <w:szCs w:val="24"/>
                <w:lang w:eastAsia="en-GB"/>
              </w:rPr>
              <w:t>11.79%</w:t>
            </w:r>
          </w:p>
        </w:tc>
        <w:tc>
          <w:tcPr>
            <w:tcW w:w="1134" w:type="dxa"/>
            <w:vMerge w:val="restart"/>
            <w:tcBorders>
              <w:top w:val="nil"/>
              <w:left w:val="nil"/>
              <w:right w:val="single" w:sz="8" w:space="0" w:color="auto"/>
            </w:tcBorders>
            <w:shd w:val="clear" w:color="auto" w:fill="8DB3E2" w:themeFill="text2" w:themeFillTint="66"/>
            <w:noWrap/>
            <w:vAlign w:val="bottom"/>
            <w:hideMark/>
          </w:tcPr>
          <w:p w:rsidR="00B247E7" w:rsidRPr="00A75C39" w:rsidRDefault="00B247E7" w:rsidP="00B247E7">
            <w:pPr>
              <w:spacing w:after="0" w:line="240" w:lineRule="auto"/>
              <w:rPr>
                <w:rFonts w:ascii="Calibri" w:eastAsia="Times New Roman" w:hAnsi="Calibri" w:cs="Calibri"/>
                <w:lang w:eastAsia="en-GB"/>
              </w:rPr>
            </w:pPr>
            <w:r w:rsidRPr="00A75C39">
              <w:rPr>
                <w:rFonts w:ascii="Calibri" w:eastAsia="Times New Roman" w:hAnsi="Calibri" w:cs="Calibri"/>
                <w:lang w:eastAsia="en-GB"/>
              </w:rPr>
              <w:t> </w:t>
            </w:r>
          </w:p>
          <w:p w:rsidR="00B247E7" w:rsidRPr="00A75C39" w:rsidRDefault="00B247E7" w:rsidP="00B247E7">
            <w:pPr>
              <w:spacing w:after="0" w:line="240" w:lineRule="auto"/>
              <w:rPr>
                <w:rFonts w:ascii="Calibri" w:eastAsia="Times New Roman" w:hAnsi="Calibri" w:cs="Calibri"/>
                <w:lang w:eastAsia="en-GB"/>
              </w:rPr>
            </w:pPr>
            <w:r w:rsidRPr="00A75C39">
              <w:rPr>
                <w:rFonts w:ascii="Calibri" w:eastAsia="Times New Roman" w:hAnsi="Calibri" w:cs="Calibri"/>
                <w:lang w:eastAsia="en-GB"/>
              </w:rPr>
              <w:t> </w:t>
            </w:r>
          </w:p>
          <w:p w:rsidR="00B247E7" w:rsidRPr="00A75C39" w:rsidRDefault="00B247E7" w:rsidP="00B247E7">
            <w:pPr>
              <w:spacing w:after="0" w:line="240" w:lineRule="auto"/>
              <w:rPr>
                <w:rFonts w:ascii="Calibri" w:eastAsia="Times New Roman" w:hAnsi="Calibri" w:cs="Calibri"/>
                <w:lang w:eastAsia="en-GB"/>
              </w:rPr>
            </w:pPr>
            <w:r w:rsidRPr="00A75C39">
              <w:rPr>
                <w:rFonts w:ascii="Calibri" w:eastAsia="Times New Roman" w:hAnsi="Calibri" w:cs="Calibri"/>
                <w:lang w:eastAsia="en-GB"/>
              </w:rPr>
              <w:t> </w:t>
            </w:r>
          </w:p>
          <w:p w:rsidR="00B247E7" w:rsidRPr="00A75C39" w:rsidRDefault="00B247E7" w:rsidP="00B247E7">
            <w:pPr>
              <w:spacing w:after="0" w:line="240" w:lineRule="auto"/>
              <w:rPr>
                <w:rFonts w:ascii="Calibri" w:eastAsia="Times New Roman" w:hAnsi="Calibri" w:cs="Calibri"/>
                <w:lang w:eastAsia="en-GB"/>
              </w:rPr>
            </w:pPr>
            <w:r w:rsidRPr="00A75C39">
              <w:rPr>
                <w:rFonts w:ascii="Calibri" w:eastAsia="Times New Roman" w:hAnsi="Calibri" w:cs="Calibri"/>
                <w:lang w:eastAsia="en-GB"/>
              </w:rPr>
              <w:t> </w:t>
            </w:r>
          </w:p>
        </w:tc>
        <w:tc>
          <w:tcPr>
            <w:tcW w:w="1134" w:type="dxa"/>
            <w:vMerge w:val="restart"/>
            <w:tcBorders>
              <w:top w:val="single" w:sz="8" w:space="0" w:color="auto"/>
              <w:left w:val="nil"/>
              <w:right w:val="single" w:sz="8" w:space="0" w:color="auto"/>
            </w:tcBorders>
            <w:shd w:val="clear" w:color="auto" w:fill="8DB3E2" w:themeFill="text2" w:themeFillTint="66"/>
            <w:noWrap/>
            <w:vAlign w:val="bottom"/>
            <w:hideMark/>
          </w:tcPr>
          <w:p w:rsidR="00B247E7" w:rsidRPr="00A75C39" w:rsidRDefault="00B247E7" w:rsidP="00B247E7">
            <w:pPr>
              <w:spacing w:after="0" w:line="240" w:lineRule="auto"/>
              <w:rPr>
                <w:rFonts w:ascii="Calibri" w:eastAsia="Times New Roman" w:hAnsi="Calibri" w:cs="Calibri"/>
                <w:lang w:eastAsia="en-GB"/>
              </w:rPr>
            </w:pPr>
            <w:r w:rsidRPr="00A75C39">
              <w:rPr>
                <w:rFonts w:ascii="Calibri" w:eastAsia="Times New Roman" w:hAnsi="Calibri" w:cs="Calibri"/>
                <w:lang w:eastAsia="en-GB"/>
              </w:rPr>
              <w:t> </w:t>
            </w:r>
          </w:p>
          <w:p w:rsidR="00B247E7" w:rsidRPr="00A75C39" w:rsidRDefault="00B247E7" w:rsidP="00B247E7">
            <w:pPr>
              <w:spacing w:after="0" w:line="240" w:lineRule="auto"/>
              <w:rPr>
                <w:rFonts w:ascii="Calibri" w:eastAsia="Times New Roman" w:hAnsi="Calibri" w:cs="Calibri"/>
                <w:lang w:eastAsia="en-GB"/>
              </w:rPr>
            </w:pPr>
            <w:r w:rsidRPr="00A75C39">
              <w:rPr>
                <w:rFonts w:ascii="Calibri" w:eastAsia="Times New Roman" w:hAnsi="Calibri" w:cs="Calibri"/>
                <w:lang w:eastAsia="en-GB"/>
              </w:rPr>
              <w:t> </w:t>
            </w:r>
          </w:p>
          <w:p w:rsidR="00B247E7" w:rsidRPr="00A75C39" w:rsidRDefault="00B247E7" w:rsidP="00B247E7">
            <w:pPr>
              <w:spacing w:after="0" w:line="240" w:lineRule="auto"/>
              <w:rPr>
                <w:rFonts w:ascii="Calibri" w:eastAsia="Times New Roman" w:hAnsi="Calibri" w:cs="Calibri"/>
                <w:lang w:eastAsia="en-GB"/>
              </w:rPr>
            </w:pPr>
            <w:r w:rsidRPr="00A75C39">
              <w:rPr>
                <w:rFonts w:ascii="Calibri" w:eastAsia="Times New Roman" w:hAnsi="Calibri" w:cs="Calibri"/>
                <w:lang w:eastAsia="en-GB"/>
              </w:rPr>
              <w:t> </w:t>
            </w:r>
          </w:p>
          <w:p w:rsidR="00B247E7" w:rsidRPr="00A75C39" w:rsidRDefault="00B247E7" w:rsidP="00B247E7">
            <w:pPr>
              <w:spacing w:after="0" w:line="240" w:lineRule="auto"/>
              <w:rPr>
                <w:rFonts w:ascii="Calibri" w:eastAsia="Times New Roman" w:hAnsi="Calibri" w:cs="Calibri"/>
                <w:lang w:eastAsia="en-GB"/>
              </w:rPr>
            </w:pPr>
            <w:r w:rsidRPr="00A75C39">
              <w:rPr>
                <w:rFonts w:ascii="Calibri" w:eastAsia="Times New Roman" w:hAnsi="Calibri" w:cs="Calibri"/>
                <w:lang w:eastAsia="en-GB"/>
              </w:rPr>
              <w:t> </w:t>
            </w:r>
          </w:p>
        </w:tc>
      </w:tr>
      <w:tr w:rsidR="00B247E7" w:rsidRPr="00A75C39" w:rsidTr="00D067E4">
        <w:trPr>
          <w:trHeight w:val="320"/>
        </w:trPr>
        <w:tc>
          <w:tcPr>
            <w:tcW w:w="1171" w:type="dxa"/>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center"/>
            <w:hideMark/>
          </w:tcPr>
          <w:p w:rsidR="00B247E7" w:rsidRPr="00A75C39" w:rsidRDefault="00B247E7" w:rsidP="00B247E7">
            <w:pPr>
              <w:spacing w:after="0" w:line="240" w:lineRule="auto"/>
              <w:rPr>
                <w:rFonts w:ascii="Calibri" w:eastAsia="Times New Roman" w:hAnsi="Calibri" w:cs="Calibri"/>
                <w:b/>
                <w:sz w:val="24"/>
                <w:szCs w:val="24"/>
                <w:lang w:eastAsia="en-GB"/>
              </w:rPr>
            </w:pPr>
            <w:r w:rsidRPr="00A75C39">
              <w:rPr>
                <w:rFonts w:ascii="Calibri" w:eastAsia="Times New Roman" w:hAnsi="Calibri" w:cs="Calibri"/>
                <w:b/>
                <w:sz w:val="24"/>
                <w:szCs w:val="24"/>
                <w:lang w:eastAsia="en-GB"/>
              </w:rPr>
              <w:t>YE 2018</w:t>
            </w:r>
          </w:p>
        </w:tc>
        <w:tc>
          <w:tcPr>
            <w:tcW w:w="1264" w:type="dxa"/>
            <w:tcBorders>
              <w:top w:val="nil"/>
              <w:left w:val="nil"/>
              <w:bottom w:val="single" w:sz="8" w:space="0" w:color="auto"/>
              <w:right w:val="single" w:sz="8" w:space="0" w:color="auto"/>
            </w:tcBorders>
            <w:shd w:val="clear" w:color="auto" w:fill="auto"/>
            <w:vAlign w:val="center"/>
            <w:hideMark/>
          </w:tcPr>
          <w:p w:rsidR="00B247E7" w:rsidRPr="00A75C39" w:rsidRDefault="00B247E7" w:rsidP="00B247E7">
            <w:pPr>
              <w:spacing w:after="0" w:line="240" w:lineRule="auto"/>
              <w:jc w:val="right"/>
              <w:rPr>
                <w:rFonts w:ascii="Calibri" w:eastAsia="Times New Roman" w:hAnsi="Calibri" w:cs="Calibri"/>
                <w:sz w:val="24"/>
                <w:szCs w:val="24"/>
                <w:lang w:eastAsia="en-GB"/>
              </w:rPr>
            </w:pPr>
            <w:r w:rsidRPr="00A75C39">
              <w:rPr>
                <w:rFonts w:ascii="Calibri" w:eastAsia="Times New Roman" w:hAnsi="Calibri" w:cs="Calibri"/>
                <w:sz w:val="24"/>
                <w:szCs w:val="24"/>
                <w:lang w:eastAsia="en-GB"/>
              </w:rPr>
              <w:t>29.20%</w:t>
            </w:r>
          </w:p>
        </w:tc>
        <w:tc>
          <w:tcPr>
            <w:tcW w:w="1134" w:type="dxa"/>
            <w:tcBorders>
              <w:top w:val="nil"/>
              <w:left w:val="nil"/>
              <w:bottom w:val="single" w:sz="8" w:space="0" w:color="auto"/>
              <w:right w:val="single" w:sz="8" w:space="0" w:color="auto"/>
            </w:tcBorders>
            <w:shd w:val="clear" w:color="auto" w:fill="auto"/>
            <w:vAlign w:val="center"/>
            <w:hideMark/>
          </w:tcPr>
          <w:p w:rsidR="00B247E7" w:rsidRPr="00A75C39" w:rsidRDefault="00B247E7" w:rsidP="00B247E7">
            <w:pPr>
              <w:spacing w:after="0" w:line="240" w:lineRule="auto"/>
              <w:jc w:val="right"/>
              <w:rPr>
                <w:rFonts w:ascii="Calibri" w:eastAsia="Times New Roman" w:hAnsi="Calibri" w:cs="Calibri"/>
                <w:sz w:val="24"/>
                <w:szCs w:val="24"/>
                <w:lang w:eastAsia="en-GB"/>
              </w:rPr>
            </w:pPr>
            <w:r w:rsidRPr="00A75C39">
              <w:rPr>
                <w:rFonts w:ascii="Calibri" w:eastAsia="Times New Roman" w:hAnsi="Calibri" w:cs="Calibri"/>
                <w:sz w:val="24"/>
                <w:szCs w:val="24"/>
                <w:lang w:eastAsia="en-GB"/>
              </w:rPr>
              <w:t>17.00%</w:t>
            </w:r>
          </w:p>
        </w:tc>
        <w:tc>
          <w:tcPr>
            <w:tcW w:w="1418" w:type="dxa"/>
            <w:tcBorders>
              <w:top w:val="nil"/>
              <w:left w:val="nil"/>
              <w:bottom w:val="single" w:sz="8" w:space="0" w:color="auto"/>
              <w:right w:val="single" w:sz="8" w:space="0" w:color="auto"/>
            </w:tcBorders>
            <w:shd w:val="clear" w:color="auto" w:fill="auto"/>
            <w:noWrap/>
            <w:vAlign w:val="bottom"/>
            <w:hideMark/>
          </w:tcPr>
          <w:p w:rsidR="00B247E7" w:rsidRPr="00A75C39" w:rsidRDefault="00B247E7" w:rsidP="00B247E7">
            <w:pPr>
              <w:spacing w:after="0" w:line="240" w:lineRule="auto"/>
              <w:jc w:val="right"/>
              <w:rPr>
                <w:rFonts w:ascii="Calibri" w:eastAsia="Times New Roman" w:hAnsi="Calibri" w:cs="Calibri"/>
                <w:sz w:val="24"/>
                <w:szCs w:val="24"/>
                <w:lang w:eastAsia="en-GB"/>
              </w:rPr>
            </w:pPr>
            <w:r w:rsidRPr="00A75C39">
              <w:rPr>
                <w:rFonts w:ascii="Calibri" w:eastAsia="Times New Roman" w:hAnsi="Calibri" w:cs="Calibri"/>
                <w:sz w:val="24"/>
                <w:szCs w:val="24"/>
                <w:lang w:eastAsia="en-GB"/>
              </w:rPr>
              <w:t>32.06%</w:t>
            </w:r>
          </w:p>
        </w:tc>
        <w:tc>
          <w:tcPr>
            <w:tcW w:w="1275" w:type="dxa"/>
            <w:tcBorders>
              <w:top w:val="nil"/>
              <w:left w:val="nil"/>
              <w:bottom w:val="single" w:sz="8" w:space="0" w:color="auto"/>
              <w:right w:val="single" w:sz="8" w:space="0" w:color="auto"/>
            </w:tcBorders>
            <w:shd w:val="clear" w:color="auto" w:fill="auto"/>
            <w:noWrap/>
            <w:vAlign w:val="bottom"/>
            <w:hideMark/>
          </w:tcPr>
          <w:p w:rsidR="00B247E7" w:rsidRPr="00A75C39" w:rsidRDefault="00B247E7" w:rsidP="00B247E7">
            <w:pPr>
              <w:spacing w:after="0" w:line="240" w:lineRule="auto"/>
              <w:jc w:val="right"/>
              <w:rPr>
                <w:rFonts w:ascii="Calibri" w:eastAsia="Times New Roman" w:hAnsi="Calibri" w:cs="Calibri"/>
                <w:sz w:val="24"/>
                <w:szCs w:val="24"/>
                <w:lang w:eastAsia="en-GB"/>
              </w:rPr>
            </w:pPr>
            <w:r w:rsidRPr="00A75C39">
              <w:rPr>
                <w:rFonts w:ascii="Calibri" w:eastAsia="Times New Roman" w:hAnsi="Calibri" w:cs="Calibri"/>
                <w:sz w:val="24"/>
                <w:szCs w:val="24"/>
                <w:lang w:eastAsia="en-GB"/>
              </w:rPr>
              <w:t>16.13%</w:t>
            </w:r>
          </w:p>
        </w:tc>
        <w:tc>
          <w:tcPr>
            <w:tcW w:w="1134" w:type="dxa"/>
            <w:vMerge/>
            <w:tcBorders>
              <w:left w:val="nil"/>
              <w:right w:val="single" w:sz="8" w:space="0" w:color="auto"/>
            </w:tcBorders>
            <w:shd w:val="clear" w:color="auto" w:fill="8DB3E2" w:themeFill="text2" w:themeFillTint="66"/>
            <w:noWrap/>
            <w:vAlign w:val="bottom"/>
            <w:hideMark/>
          </w:tcPr>
          <w:p w:rsidR="00B247E7" w:rsidRPr="00A75C39" w:rsidRDefault="00B247E7" w:rsidP="00B247E7">
            <w:pPr>
              <w:spacing w:after="0" w:line="240" w:lineRule="auto"/>
              <w:rPr>
                <w:rFonts w:ascii="Calibri" w:eastAsia="Times New Roman" w:hAnsi="Calibri" w:cs="Calibri"/>
                <w:lang w:eastAsia="en-GB"/>
              </w:rPr>
            </w:pPr>
          </w:p>
        </w:tc>
        <w:tc>
          <w:tcPr>
            <w:tcW w:w="1134" w:type="dxa"/>
            <w:vMerge/>
            <w:tcBorders>
              <w:left w:val="nil"/>
              <w:right w:val="single" w:sz="8" w:space="0" w:color="auto"/>
            </w:tcBorders>
            <w:shd w:val="clear" w:color="auto" w:fill="8DB3E2" w:themeFill="text2" w:themeFillTint="66"/>
            <w:noWrap/>
            <w:vAlign w:val="bottom"/>
            <w:hideMark/>
          </w:tcPr>
          <w:p w:rsidR="00B247E7" w:rsidRPr="00A75C39" w:rsidRDefault="00B247E7" w:rsidP="00B247E7">
            <w:pPr>
              <w:spacing w:after="0" w:line="240" w:lineRule="auto"/>
              <w:rPr>
                <w:rFonts w:ascii="Calibri" w:eastAsia="Times New Roman" w:hAnsi="Calibri" w:cs="Calibri"/>
                <w:lang w:eastAsia="en-GB"/>
              </w:rPr>
            </w:pPr>
          </w:p>
        </w:tc>
      </w:tr>
      <w:tr w:rsidR="00B247E7" w:rsidRPr="00A75C39" w:rsidTr="00D067E4">
        <w:trPr>
          <w:trHeight w:val="320"/>
        </w:trPr>
        <w:tc>
          <w:tcPr>
            <w:tcW w:w="1171" w:type="dxa"/>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center"/>
            <w:hideMark/>
          </w:tcPr>
          <w:p w:rsidR="00B247E7" w:rsidRPr="00A75C39" w:rsidRDefault="00B247E7" w:rsidP="00B247E7">
            <w:pPr>
              <w:spacing w:after="0" w:line="240" w:lineRule="auto"/>
              <w:rPr>
                <w:rFonts w:ascii="Calibri" w:eastAsia="Times New Roman" w:hAnsi="Calibri" w:cs="Calibri"/>
                <w:b/>
                <w:sz w:val="24"/>
                <w:szCs w:val="24"/>
                <w:lang w:eastAsia="en-GB"/>
              </w:rPr>
            </w:pPr>
            <w:r w:rsidRPr="00A75C39">
              <w:rPr>
                <w:rFonts w:ascii="Calibri" w:eastAsia="Times New Roman" w:hAnsi="Calibri" w:cs="Calibri"/>
                <w:b/>
                <w:sz w:val="24"/>
                <w:szCs w:val="24"/>
                <w:lang w:eastAsia="en-GB"/>
              </w:rPr>
              <w:t xml:space="preserve">YE 2019 </w:t>
            </w:r>
          </w:p>
        </w:tc>
        <w:tc>
          <w:tcPr>
            <w:tcW w:w="1264" w:type="dxa"/>
            <w:tcBorders>
              <w:top w:val="nil"/>
              <w:left w:val="nil"/>
              <w:bottom w:val="single" w:sz="8" w:space="0" w:color="auto"/>
              <w:right w:val="single" w:sz="8" w:space="0" w:color="auto"/>
            </w:tcBorders>
            <w:shd w:val="clear" w:color="auto" w:fill="auto"/>
            <w:noWrap/>
            <w:vAlign w:val="center"/>
            <w:hideMark/>
          </w:tcPr>
          <w:p w:rsidR="00B247E7" w:rsidRPr="00A75C39" w:rsidRDefault="00B247E7" w:rsidP="00B247E7">
            <w:pPr>
              <w:spacing w:after="0" w:line="240" w:lineRule="auto"/>
              <w:jc w:val="right"/>
              <w:rPr>
                <w:rFonts w:ascii="Calibri" w:eastAsia="Times New Roman" w:hAnsi="Calibri" w:cs="Calibri"/>
                <w:sz w:val="24"/>
                <w:szCs w:val="24"/>
                <w:lang w:eastAsia="en-GB"/>
              </w:rPr>
            </w:pPr>
            <w:r w:rsidRPr="00A75C39">
              <w:rPr>
                <w:rFonts w:ascii="Calibri" w:eastAsia="Times New Roman" w:hAnsi="Calibri" w:cs="Calibri"/>
                <w:sz w:val="24"/>
                <w:szCs w:val="24"/>
                <w:lang w:eastAsia="en-GB"/>
              </w:rPr>
              <w:t>29.00%</w:t>
            </w:r>
          </w:p>
        </w:tc>
        <w:tc>
          <w:tcPr>
            <w:tcW w:w="1134" w:type="dxa"/>
            <w:tcBorders>
              <w:top w:val="nil"/>
              <w:left w:val="nil"/>
              <w:bottom w:val="single" w:sz="8" w:space="0" w:color="auto"/>
              <w:right w:val="single" w:sz="8" w:space="0" w:color="auto"/>
            </w:tcBorders>
            <w:shd w:val="clear" w:color="auto" w:fill="auto"/>
            <w:noWrap/>
            <w:vAlign w:val="center"/>
            <w:hideMark/>
          </w:tcPr>
          <w:p w:rsidR="00B247E7" w:rsidRPr="00A75C39" w:rsidRDefault="00B247E7" w:rsidP="00B247E7">
            <w:pPr>
              <w:spacing w:after="0" w:line="240" w:lineRule="auto"/>
              <w:jc w:val="right"/>
              <w:rPr>
                <w:rFonts w:ascii="Calibri" w:eastAsia="Times New Roman" w:hAnsi="Calibri" w:cs="Calibri"/>
                <w:sz w:val="24"/>
                <w:szCs w:val="24"/>
                <w:lang w:eastAsia="en-GB"/>
              </w:rPr>
            </w:pPr>
            <w:r w:rsidRPr="00A75C39">
              <w:rPr>
                <w:rFonts w:ascii="Calibri" w:eastAsia="Times New Roman" w:hAnsi="Calibri" w:cs="Calibri"/>
                <w:sz w:val="24"/>
                <w:szCs w:val="24"/>
                <w:lang w:eastAsia="en-GB"/>
              </w:rPr>
              <w:t>18.00%</w:t>
            </w:r>
          </w:p>
        </w:tc>
        <w:tc>
          <w:tcPr>
            <w:tcW w:w="1418" w:type="dxa"/>
            <w:tcBorders>
              <w:top w:val="nil"/>
              <w:left w:val="nil"/>
              <w:bottom w:val="single" w:sz="8" w:space="0" w:color="auto"/>
              <w:right w:val="single" w:sz="8" w:space="0" w:color="auto"/>
            </w:tcBorders>
            <w:shd w:val="clear" w:color="auto" w:fill="auto"/>
            <w:noWrap/>
            <w:vAlign w:val="bottom"/>
            <w:hideMark/>
          </w:tcPr>
          <w:p w:rsidR="00B247E7" w:rsidRPr="00A75C39" w:rsidRDefault="00B247E7" w:rsidP="00B247E7">
            <w:pPr>
              <w:spacing w:after="0" w:line="240" w:lineRule="auto"/>
              <w:jc w:val="right"/>
              <w:rPr>
                <w:rFonts w:ascii="Calibri" w:eastAsia="Times New Roman" w:hAnsi="Calibri" w:cs="Calibri"/>
                <w:sz w:val="24"/>
                <w:szCs w:val="24"/>
                <w:lang w:eastAsia="en-GB"/>
              </w:rPr>
            </w:pPr>
            <w:r w:rsidRPr="00A75C39">
              <w:rPr>
                <w:rFonts w:ascii="Calibri" w:eastAsia="Times New Roman" w:hAnsi="Calibri" w:cs="Calibri"/>
                <w:sz w:val="24"/>
                <w:szCs w:val="24"/>
                <w:lang w:eastAsia="en-GB"/>
              </w:rPr>
              <w:t>31.75%</w:t>
            </w:r>
          </w:p>
        </w:tc>
        <w:tc>
          <w:tcPr>
            <w:tcW w:w="1275" w:type="dxa"/>
            <w:tcBorders>
              <w:top w:val="nil"/>
              <w:left w:val="nil"/>
              <w:bottom w:val="single" w:sz="8" w:space="0" w:color="auto"/>
              <w:right w:val="single" w:sz="8" w:space="0" w:color="auto"/>
            </w:tcBorders>
            <w:shd w:val="clear" w:color="auto" w:fill="auto"/>
            <w:noWrap/>
            <w:vAlign w:val="bottom"/>
            <w:hideMark/>
          </w:tcPr>
          <w:p w:rsidR="00B247E7" w:rsidRPr="00A75C39" w:rsidRDefault="00B247E7" w:rsidP="00B247E7">
            <w:pPr>
              <w:spacing w:after="0" w:line="240" w:lineRule="auto"/>
              <w:jc w:val="right"/>
              <w:rPr>
                <w:rFonts w:ascii="Calibri" w:eastAsia="Times New Roman" w:hAnsi="Calibri" w:cs="Calibri"/>
                <w:sz w:val="24"/>
                <w:szCs w:val="24"/>
                <w:lang w:eastAsia="en-GB"/>
              </w:rPr>
            </w:pPr>
            <w:r w:rsidRPr="00A75C39">
              <w:rPr>
                <w:rFonts w:ascii="Calibri" w:eastAsia="Times New Roman" w:hAnsi="Calibri" w:cs="Calibri"/>
                <w:sz w:val="24"/>
                <w:szCs w:val="24"/>
                <w:lang w:eastAsia="en-GB"/>
              </w:rPr>
              <w:t>17.27%</w:t>
            </w:r>
          </w:p>
        </w:tc>
        <w:tc>
          <w:tcPr>
            <w:tcW w:w="1134" w:type="dxa"/>
            <w:vMerge/>
            <w:tcBorders>
              <w:left w:val="nil"/>
              <w:right w:val="single" w:sz="8" w:space="0" w:color="auto"/>
            </w:tcBorders>
            <w:shd w:val="clear" w:color="auto" w:fill="8DB3E2" w:themeFill="text2" w:themeFillTint="66"/>
            <w:noWrap/>
            <w:vAlign w:val="bottom"/>
            <w:hideMark/>
          </w:tcPr>
          <w:p w:rsidR="00B247E7" w:rsidRPr="00A75C39" w:rsidRDefault="00B247E7" w:rsidP="00B247E7">
            <w:pPr>
              <w:spacing w:after="0" w:line="240" w:lineRule="auto"/>
              <w:rPr>
                <w:rFonts w:ascii="Calibri" w:eastAsia="Times New Roman" w:hAnsi="Calibri" w:cs="Calibri"/>
                <w:lang w:eastAsia="en-GB"/>
              </w:rPr>
            </w:pPr>
          </w:p>
        </w:tc>
        <w:tc>
          <w:tcPr>
            <w:tcW w:w="1134" w:type="dxa"/>
            <w:vMerge/>
            <w:tcBorders>
              <w:left w:val="nil"/>
              <w:right w:val="single" w:sz="8" w:space="0" w:color="auto"/>
            </w:tcBorders>
            <w:shd w:val="clear" w:color="auto" w:fill="8DB3E2" w:themeFill="text2" w:themeFillTint="66"/>
            <w:noWrap/>
            <w:vAlign w:val="bottom"/>
            <w:hideMark/>
          </w:tcPr>
          <w:p w:rsidR="00B247E7" w:rsidRPr="00A75C39" w:rsidRDefault="00B247E7" w:rsidP="00B247E7">
            <w:pPr>
              <w:spacing w:after="0" w:line="240" w:lineRule="auto"/>
              <w:rPr>
                <w:rFonts w:ascii="Calibri" w:eastAsia="Times New Roman" w:hAnsi="Calibri" w:cs="Calibri"/>
                <w:lang w:eastAsia="en-GB"/>
              </w:rPr>
            </w:pPr>
          </w:p>
        </w:tc>
      </w:tr>
      <w:tr w:rsidR="00A75C39" w:rsidRPr="00A75C39" w:rsidTr="00D067E4">
        <w:trPr>
          <w:trHeight w:val="320"/>
        </w:trPr>
        <w:tc>
          <w:tcPr>
            <w:tcW w:w="1171" w:type="dxa"/>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center"/>
            <w:hideMark/>
          </w:tcPr>
          <w:p w:rsidR="00B247E7" w:rsidRPr="00A75C39" w:rsidRDefault="00B247E7" w:rsidP="00B247E7">
            <w:pPr>
              <w:spacing w:after="0" w:line="240" w:lineRule="auto"/>
              <w:rPr>
                <w:rFonts w:ascii="Calibri" w:eastAsia="Times New Roman" w:hAnsi="Calibri" w:cs="Calibri"/>
                <w:b/>
                <w:sz w:val="24"/>
                <w:szCs w:val="24"/>
                <w:lang w:eastAsia="en-GB"/>
              </w:rPr>
            </w:pPr>
            <w:r w:rsidRPr="00A75C39">
              <w:rPr>
                <w:rFonts w:ascii="Calibri" w:eastAsia="Times New Roman" w:hAnsi="Calibri" w:cs="Calibri"/>
                <w:b/>
                <w:sz w:val="24"/>
                <w:szCs w:val="24"/>
                <w:lang w:eastAsia="en-GB"/>
              </w:rPr>
              <w:t>YE 2020</w:t>
            </w:r>
          </w:p>
        </w:tc>
        <w:tc>
          <w:tcPr>
            <w:tcW w:w="1264" w:type="dxa"/>
            <w:tcBorders>
              <w:top w:val="nil"/>
              <w:left w:val="nil"/>
              <w:bottom w:val="single" w:sz="8" w:space="0" w:color="auto"/>
              <w:right w:val="single" w:sz="8" w:space="0" w:color="auto"/>
            </w:tcBorders>
            <w:shd w:val="clear" w:color="auto" w:fill="auto"/>
            <w:noWrap/>
            <w:vAlign w:val="center"/>
            <w:hideMark/>
          </w:tcPr>
          <w:p w:rsidR="00B247E7" w:rsidRPr="00A75C39" w:rsidRDefault="00B247E7" w:rsidP="00B247E7">
            <w:pPr>
              <w:spacing w:after="0" w:line="240" w:lineRule="auto"/>
              <w:jc w:val="right"/>
              <w:rPr>
                <w:rFonts w:ascii="Calibri" w:eastAsia="Times New Roman" w:hAnsi="Calibri" w:cs="Calibri"/>
                <w:sz w:val="24"/>
                <w:szCs w:val="24"/>
                <w:lang w:eastAsia="en-GB"/>
              </w:rPr>
            </w:pPr>
            <w:r w:rsidRPr="00A75C39">
              <w:rPr>
                <w:rFonts w:ascii="Calibri" w:eastAsia="Times New Roman" w:hAnsi="Calibri" w:cs="Calibri"/>
                <w:sz w:val="24"/>
                <w:szCs w:val="24"/>
                <w:lang w:eastAsia="en-GB"/>
              </w:rPr>
              <w:t>28.70%</w:t>
            </w:r>
          </w:p>
        </w:tc>
        <w:tc>
          <w:tcPr>
            <w:tcW w:w="1134" w:type="dxa"/>
            <w:tcBorders>
              <w:top w:val="nil"/>
              <w:left w:val="nil"/>
              <w:bottom w:val="single" w:sz="8" w:space="0" w:color="auto"/>
              <w:right w:val="single" w:sz="8" w:space="0" w:color="auto"/>
            </w:tcBorders>
            <w:shd w:val="clear" w:color="auto" w:fill="auto"/>
            <w:noWrap/>
            <w:vAlign w:val="center"/>
            <w:hideMark/>
          </w:tcPr>
          <w:p w:rsidR="00B247E7" w:rsidRPr="00A75C39" w:rsidRDefault="00B247E7" w:rsidP="00B247E7">
            <w:pPr>
              <w:spacing w:after="0" w:line="240" w:lineRule="auto"/>
              <w:jc w:val="right"/>
              <w:rPr>
                <w:rFonts w:ascii="Calibri" w:eastAsia="Times New Roman" w:hAnsi="Calibri" w:cs="Calibri"/>
                <w:sz w:val="24"/>
                <w:szCs w:val="24"/>
                <w:lang w:eastAsia="en-GB"/>
              </w:rPr>
            </w:pPr>
            <w:r w:rsidRPr="00A75C39">
              <w:rPr>
                <w:rFonts w:ascii="Calibri" w:eastAsia="Times New Roman" w:hAnsi="Calibri" w:cs="Calibri"/>
                <w:sz w:val="24"/>
                <w:szCs w:val="24"/>
                <w:lang w:eastAsia="en-GB"/>
              </w:rPr>
              <w:t>20.90%</w:t>
            </w:r>
          </w:p>
        </w:tc>
        <w:tc>
          <w:tcPr>
            <w:tcW w:w="1418" w:type="dxa"/>
            <w:tcBorders>
              <w:top w:val="nil"/>
              <w:left w:val="nil"/>
              <w:bottom w:val="single" w:sz="8" w:space="0" w:color="auto"/>
              <w:right w:val="single" w:sz="8" w:space="0" w:color="auto"/>
            </w:tcBorders>
            <w:shd w:val="clear" w:color="auto" w:fill="auto"/>
            <w:noWrap/>
            <w:vAlign w:val="bottom"/>
            <w:hideMark/>
          </w:tcPr>
          <w:p w:rsidR="00B247E7" w:rsidRPr="00A75C39" w:rsidRDefault="00B247E7" w:rsidP="00B247E7">
            <w:pPr>
              <w:spacing w:after="0" w:line="240" w:lineRule="auto"/>
              <w:jc w:val="right"/>
              <w:rPr>
                <w:rFonts w:ascii="Calibri" w:eastAsia="Times New Roman" w:hAnsi="Calibri" w:cs="Calibri"/>
                <w:sz w:val="24"/>
                <w:szCs w:val="24"/>
                <w:lang w:eastAsia="en-GB"/>
              </w:rPr>
            </w:pPr>
            <w:r w:rsidRPr="00A75C39">
              <w:rPr>
                <w:rFonts w:ascii="Calibri" w:eastAsia="Times New Roman" w:hAnsi="Calibri" w:cs="Calibri"/>
                <w:sz w:val="24"/>
                <w:szCs w:val="24"/>
                <w:lang w:eastAsia="en-GB"/>
              </w:rPr>
              <w:t>31.53%</w:t>
            </w:r>
          </w:p>
        </w:tc>
        <w:tc>
          <w:tcPr>
            <w:tcW w:w="1275" w:type="dxa"/>
            <w:tcBorders>
              <w:top w:val="nil"/>
              <w:left w:val="nil"/>
              <w:bottom w:val="single" w:sz="8" w:space="0" w:color="auto"/>
              <w:right w:val="single" w:sz="8" w:space="0" w:color="auto"/>
            </w:tcBorders>
            <w:shd w:val="clear" w:color="auto" w:fill="auto"/>
            <w:noWrap/>
            <w:vAlign w:val="bottom"/>
            <w:hideMark/>
          </w:tcPr>
          <w:p w:rsidR="00B247E7" w:rsidRPr="00A75C39" w:rsidRDefault="00B247E7" w:rsidP="00B247E7">
            <w:pPr>
              <w:spacing w:after="0" w:line="240" w:lineRule="auto"/>
              <w:jc w:val="right"/>
              <w:rPr>
                <w:rFonts w:ascii="Calibri" w:eastAsia="Times New Roman" w:hAnsi="Calibri" w:cs="Calibri"/>
                <w:sz w:val="24"/>
                <w:szCs w:val="24"/>
                <w:lang w:eastAsia="en-GB"/>
              </w:rPr>
            </w:pPr>
            <w:r w:rsidRPr="00A75C39">
              <w:rPr>
                <w:rFonts w:ascii="Calibri" w:eastAsia="Times New Roman" w:hAnsi="Calibri" w:cs="Calibri"/>
                <w:sz w:val="24"/>
                <w:szCs w:val="24"/>
                <w:lang w:eastAsia="en-GB"/>
              </w:rPr>
              <w:t>20.68%</w:t>
            </w:r>
          </w:p>
        </w:tc>
        <w:tc>
          <w:tcPr>
            <w:tcW w:w="1134" w:type="dxa"/>
            <w:vMerge/>
            <w:tcBorders>
              <w:left w:val="nil"/>
              <w:bottom w:val="nil"/>
              <w:right w:val="single" w:sz="8" w:space="0" w:color="auto"/>
            </w:tcBorders>
            <w:shd w:val="clear" w:color="auto" w:fill="8DB3E2" w:themeFill="text2" w:themeFillTint="66"/>
            <w:noWrap/>
            <w:vAlign w:val="bottom"/>
            <w:hideMark/>
          </w:tcPr>
          <w:p w:rsidR="00B247E7" w:rsidRPr="00A75C39" w:rsidRDefault="00B247E7" w:rsidP="00B247E7">
            <w:pPr>
              <w:spacing w:after="0" w:line="240" w:lineRule="auto"/>
              <w:rPr>
                <w:rFonts w:ascii="Calibri" w:eastAsia="Times New Roman" w:hAnsi="Calibri" w:cs="Calibri"/>
                <w:lang w:eastAsia="en-GB"/>
              </w:rPr>
            </w:pPr>
          </w:p>
        </w:tc>
        <w:tc>
          <w:tcPr>
            <w:tcW w:w="1134" w:type="dxa"/>
            <w:vMerge/>
            <w:tcBorders>
              <w:left w:val="nil"/>
              <w:bottom w:val="single" w:sz="8" w:space="0" w:color="auto"/>
              <w:right w:val="single" w:sz="8" w:space="0" w:color="auto"/>
            </w:tcBorders>
            <w:shd w:val="clear" w:color="auto" w:fill="8DB3E2" w:themeFill="text2" w:themeFillTint="66"/>
            <w:noWrap/>
            <w:vAlign w:val="bottom"/>
            <w:hideMark/>
          </w:tcPr>
          <w:p w:rsidR="00B247E7" w:rsidRPr="00A75C39" w:rsidRDefault="00B247E7" w:rsidP="00B247E7">
            <w:pPr>
              <w:spacing w:after="0" w:line="240" w:lineRule="auto"/>
              <w:rPr>
                <w:rFonts w:ascii="Calibri" w:eastAsia="Times New Roman" w:hAnsi="Calibri" w:cs="Calibri"/>
                <w:lang w:eastAsia="en-GB"/>
              </w:rPr>
            </w:pPr>
          </w:p>
        </w:tc>
      </w:tr>
      <w:tr w:rsidR="00A75C39" w:rsidRPr="00A75C39" w:rsidTr="00A32EC1">
        <w:trPr>
          <w:trHeight w:val="320"/>
        </w:trPr>
        <w:tc>
          <w:tcPr>
            <w:tcW w:w="1171" w:type="dxa"/>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center"/>
            <w:hideMark/>
          </w:tcPr>
          <w:p w:rsidR="00B247E7" w:rsidRPr="00A75C39" w:rsidRDefault="00B247E7" w:rsidP="00B247E7">
            <w:pPr>
              <w:spacing w:after="0" w:line="240" w:lineRule="auto"/>
              <w:rPr>
                <w:rFonts w:ascii="Calibri" w:eastAsia="Times New Roman" w:hAnsi="Calibri" w:cs="Calibri"/>
                <w:b/>
                <w:bCs/>
                <w:sz w:val="24"/>
                <w:szCs w:val="24"/>
                <w:lang w:eastAsia="en-GB"/>
              </w:rPr>
            </w:pPr>
            <w:r w:rsidRPr="00A75C39">
              <w:rPr>
                <w:rFonts w:ascii="Calibri" w:eastAsia="Times New Roman" w:hAnsi="Calibri" w:cs="Calibri"/>
                <w:b/>
                <w:bCs/>
                <w:sz w:val="24"/>
                <w:szCs w:val="24"/>
                <w:lang w:eastAsia="en-GB"/>
              </w:rPr>
              <w:t>YE 2021</w:t>
            </w:r>
          </w:p>
        </w:tc>
        <w:tc>
          <w:tcPr>
            <w:tcW w:w="1264" w:type="dxa"/>
            <w:tcBorders>
              <w:top w:val="single" w:sz="8" w:space="0" w:color="auto"/>
              <w:left w:val="nil"/>
              <w:bottom w:val="single" w:sz="8" w:space="0" w:color="auto"/>
              <w:right w:val="single" w:sz="8" w:space="0" w:color="auto"/>
            </w:tcBorders>
            <w:shd w:val="clear" w:color="000000" w:fill="BDD7EE"/>
            <w:noWrap/>
            <w:vAlign w:val="center"/>
            <w:hideMark/>
          </w:tcPr>
          <w:p w:rsidR="00B247E7" w:rsidRPr="00A75C39" w:rsidRDefault="00B247E7" w:rsidP="00B247E7">
            <w:pPr>
              <w:spacing w:after="0" w:line="240" w:lineRule="auto"/>
              <w:jc w:val="right"/>
              <w:rPr>
                <w:rFonts w:ascii="Calibri" w:eastAsia="Times New Roman" w:hAnsi="Calibri" w:cs="Calibri"/>
                <w:b/>
                <w:bCs/>
                <w:sz w:val="24"/>
                <w:szCs w:val="24"/>
                <w:lang w:eastAsia="en-GB"/>
              </w:rPr>
            </w:pPr>
            <w:r w:rsidRPr="00A75C39">
              <w:rPr>
                <w:rFonts w:ascii="Calibri" w:eastAsia="Times New Roman" w:hAnsi="Calibri" w:cs="Calibri"/>
                <w:b/>
                <w:bCs/>
                <w:sz w:val="24"/>
                <w:szCs w:val="24"/>
                <w:lang w:eastAsia="en-GB"/>
              </w:rPr>
              <w:t>27.36%</w:t>
            </w:r>
          </w:p>
        </w:tc>
        <w:tc>
          <w:tcPr>
            <w:tcW w:w="1134" w:type="dxa"/>
            <w:tcBorders>
              <w:top w:val="single" w:sz="8" w:space="0" w:color="auto"/>
              <w:left w:val="nil"/>
              <w:bottom w:val="single" w:sz="8" w:space="0" w:color="auto"/>
              <w:right w:val="single" w:sz="8" w:space="0" w:color="auto"/>
            </w:tcBorders>
            <w:shd w:val="clear" w:color="000000" w:fill="BDD7EE"/>
            <w:noWrap/>
            <w:vAlign w:val="center"/>
            <w:hideMark/>
          </w:tcPr>
          <w:p w:rsidR="00B247E7" w:rsidRPr="00A75C39" w:rsidRDefault="00B247E7" w:rsidP="00B247E7">
            <w:pPr>
              <w:spacing w:after="0" w:line="240" w:lineRule="auto"/>
              <w:jc w:val="right"/>
              <w:rPr>
                <w:rFonts w:ascii="Calibri" w:eastAsia="Times New Roman" w:hAnsi="Calibri" w:cs="Calibri"/>
                <w:b/>
                <w:bCs/>
                <w:sz w:val="24"/>
                <w:szCs w:val="24"/>
                <w:lang w:eastAsia="en-GB"/>
              </w:rPr>
            </w:pPr>
            <w:r w:rsidRPr="00A75C39">
              <w:rPr>
                <w:rFonts w:ascii="Calibri" w:eastAsia="Times New Roman" w:hAnsi="Calibri" w:cs="Calibri"/>
                <w:b/>
                <w:bCs/>
                <w:sz w:val="24"/>
                <w:szCs w:val="24"/>
                <w:lang w:eastAsia="en-GB"/>
              </w:rPr>
              <w:t>19.20%</w:t>
            </w:r>
          </w:p>
        </w:tc>
        <w:tc>
          <w:tcPr>
            <w:tcW w:w="1418" w:type="dxa"/>
            <w:tcBorders>
              <w:top w:val="single" w:sz="8" w:space="0" w:color="auto"/>
              <w:left w:val="nil"/>
              <w:bottom w:val="single" w:sz="8" w:space="0" w:color="auto"/>
              <w:right w:val="single" w:sz="8" w:space="0" w:color="auto"/>
            </w:tcBorders>
            <w:shd w:val="clear" w:color="000000" w:fill="BDD7EE"/>
            <w:noWrap/>
            <w:vAlign w:val="bottom"/>
            <w:hideMark/>
          </w:tcPr>
          <w:p w:rsidR="00B247E7" w:rsidRPr="00A75C39" w:rsidRDefault="00B247E7" w:rsidP="00B247E7">
            <w:pPr>
              <w:spacing w:after="0" w:line="240" w:lineRule="auto"/>
              <w:jc w:val="right"/>
              <w:rPr>
                <w:rFonts w:ascii="Calibri" w:eastAsia="Times New Roman" w:hAnsi="Calibri" w:cs="Calibri"/>
                <w:b/>
                <w:bCs/>
                <w:sz w:val="24"/>
                <w:szCs w:val="24"/>
                <w:lang w:eastAsia="en-GB"/>
              </w:rPr>
            </w:pPr>
            <w:r w:rsidRPr="00A75C39">
              <w:rPr>
                <w:rFonts w:ascii="Calibri" w:eastAsia="Times New Roman" w:hAnsi="Calibri" w:cs="Calibri"/>
                <w:b/>
                <w:bCs/>
                <w:sz w:val="24"/>
                <w:szCs w:val="24"/>
                <w:lang w:eastAsia="en-GB"/>
              </w:rPr>
              <w:t>30.37%</w:t>
            </w:r>
          </w:p>
        </w:tc>
        <w:tc>
          <w:tcPr>
            <w:tcW w:w="1275" w:type="dxa"/>
            <w:tcBorders>
              <w:top w:val="single" w:sz="8" w:space="0" w:color="auto"/>
              <w:left w:val="nil"/>
              <w:bottom w:val="single" w:sz="8" w:space="0" w:color="auto"/>
              <w:right w:val="single" w:sz="8" w:space="0" w:color="auto"/>
            </w:tcBorders>
            <w:shd w:val="clear" w:color="000000" w:fill="BDD7EE"/>
            <w:noWrap/>
            <w:vAlign w:val="bottom"/>
            <w:hideMark/>
          </w:tcPr>
          <w:p w:rsidR="00B247E7" w:rsidRPr="00A75C39" w:rsidRDefault="00B247E7" w:rsidP="00B247E7">
            <w:pPr>
              <w:spacing w:after="0" w:line="240" w:lineRule="auto"/>
              <w:jc w:val="right"/>
              <w:rPr>
                <w:rFonts w:ascii="Calibri" w:eastAsia="Times New Roman" w:hAnsi="Calibri" w:cs="Calibri"/>
                <w:b/>
                <w:bCs/>
                <w:sz w:val="24"/>
                <w:szCs w:val="24"/>
                <w:lang w:eastAsia="en-GB"/>
              </w:rPr>
            </w:pPr>
            <w:r w:rsidRPr="00A75C39">
              <w:rPr>
                <w:rFonts w:ascii="Calibri" w:eastAsia="Times New Roman" w:hAnsi="Calibri" w:cs="Calibri"/>
                <w:b/>
                <w:bCs/>
                <w:sz w:val="24"/>
                <w:szCs w:val="24"/>
                <w:lang w:eastAsia="en-GB"/>
              </w:rPr>
              <w:t>17.77%</w:t>
            </w:r>
          </w:p>
        </w:tc>
        <w:tc>
          <w:tcPr>
            <w:tcW w:w="1134" w:type="dxa"/>
            <w:tcBorders>
              <w:top w:val="single" w:sz="8" w:space="0" w:color="auto"/>
              <w:left w:val="nil"/>
              <w:bottom w:val="single" w:sz="8" w:space="0" w:color="auto"/>
              <w:right w:val="single" w:sz="8" w:space="0" w:color="auto"/>
            </w:tcBorders>
            <w:shd w:val="clear" w:color="auto" w:fill="8DB3E2" w:themeFill="text2" w:themeFillTint="66"/>
            <w:noWrap/>
            <w:vAlign w:val="bottom"/>
            <w:hideMark/>
          </w:tcPr>
          <w:p w:rsidR="00B247E7" w:rsidRPr="00A75C39" w:rsidRDefault="00B247E7" w:rsidP="00B247E7">
            <w:pPr>
              <w:spacing w:after="0" w:line="240" w:lineRule="auto"/>
              <w:jc w:val="right"/>
              <w:rPr>
                <w:rFonts w:ascii="Calibri" w:eastAsia="Times New Roman" w:hAnsi="Calibri" w:cs="Calibri"/>
                <w:b/>
                <w:bCs/>
                <w:sz w:val="24"/>
                <w:szCs w:val="24"/>
                <w:lang w:eastAsia="en-GB"/>
              </w:rPr>
            </w:pPr>
            <w:r w:rsidRPr="00A75C39">
              <w:rPr>
                <w:rFonts w:ascii="Calibri" w:eastAsia="Times New Roman" w:hAnsi="Calibri" w:cs="Calibri"/>
                <w:b/>
                <w:bCs/>
                <w:sz w:val="24"/>
                <w:szCs w:val="24"/>
                <w:lang w:eastAsia="en-GB"/>
              </w:rPr>
              <w:t>28.46%</w:t>
            </w:r>
          </w:p>
        </w:tc>
        <w:tc>
          <w:tcPr>
            <w:tcW w:w="1134" w:type="dxa"/>
            <w:tcBorders>
              <w:top w:val="single" w:sz="8" w:space="0" w:color="auto"/>
              <w:left w:val="nil"/>
              <w:bottom w:val="single" w:sz="8" w:space="0" w:color="auto"/>
              <w:right w:val="single" w:sz="8" w:space="0" w:color="auto"/>
            </w:tcBorders>
            <w:shd w:val="clear" w:color="auto" w:fill="8DB3E2" w:themeFill="text2" w:themeFillTint="66"/>
            <w:noWrap/>
            <w:vAlign w:val="bottom"/>
            <w:hideMark/>
          </w:tcPr>
          <w:p w:rsidR="00B247E7" w:rsidRPr="00A75C39" w:rsidRDefault="00B247E7" w:rsidP="00B247E7">
            <w:pPr>
              <w:spacing w:after="0" w:line="240" w:lineRule="auto"/>
              <w:jc w:val="right"/>
              <w:rPr>
                <w:rFonts w:ascii="Calibri" w:eastAsia="Times New Roman" w:hAnsi="Calibri" w:cs="Calibri"/>
                <w:b/>
                <w:bCs/>
                <w:sz w:val="24"/>
                <w:szCs w:val="24"/>
                <w:lang w:eastAsia="en-GB"/>
              </w:rPr>
            </w:pPr>
            <w:r w:rsidRPr="00A75C39">
              <w:rPr>
                <w:rFonts w:ascii="Calibri" w:eastAsia="Times New Roman" w:hAnsi="Calibri" w:cs="Calibri"/>
                <w:b/>
                <w:bCs/>
                <w:sz w:val="24"/>
                <w:szCs w:val="24"/>
                <w:lang w:eastAsia="en-GB"/>
              </w:rPr>
              <w:t>20.72%</w:t>
            </w:r>
          </w:p>
        </w:tc>
      </w:tr>
      <w:tr w:rsidR="00A75C39" w:rsidRPr="00A75C39" w:rsidTr="00A32EC1">
        <w:trPr>
          <w:trHeight w:val="320"/>
        </w:trPr>
        <w:tc>
          <w:tcPr>
            <w:tcW w:w="1171" w:type="dxa"/>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center"/>
          </w:tcPr>
          <w:p w:rsidR="00A75C39" w:rsidRPr="00A75C39" w:rsidRDefault="00A75C39" w:rsidP="00B247E7">
            <w:pPr>
              <w:spacing w:after="0" w:line="240" w:lineRule="auto"/>
              <w:rPr>
                <w:rFonts w:ascii="Calibri" w:eastAsia="Times New Roman" w:hAnsi="Calibri" w:cs="Calibri"/>
                <w:b/>
                <w:bCs/>
                <w:sz w:val="24"/>
                <w:szCs w:val="24"/>
                <w:lang w:eastAsia="en-GB"/>
              </w:rPr>
            </w:pPr>
            <w:r w:rsidRPr="00A75C39">
              <w:rPr>
                <w:rFonts w:ascii="Calibri" w:eastAsia="Times New Roman" w:hAnsi="Calibri" w:cs="Calibri"/>
                <w:b/>
                <w:bCs/>
                <w:sz w:val="24"/>
                <w:szCs w:val="24"/>
                <w:lang w:eastAsia="en-GB"/>
              </w:rPr>
              <w:t>YE 2022</w:t>
            </w:r>
          </w:p>
        </w:tc>
        <w:tc>
          <w:tcPr>
            <w:tcW w:w="1264" w:type="dxa"/>
            <w:tcBorders>
              <w:top w:val="single" w:sz="8" w:space="0" w:color="auto"/>
              <w:left w:val="nil"/>
              <w:bottom w:val="single" w:sz="8" w:space="0" w:color="auto"/>
              <w:right w:val="single" w:sz="8" w:space="0" w:color="auto"/>
            </w:tcBorders>
            <w:shd w:val="clear" w:color="000000" w:fill="C6D9F1" w:themeFill="text2" w:themeFillTint="33"/>
            <w:noWrap/>
            <w:vAlign w:val="center"/>
          </w:tcPr>
          <w:p w:rsidR="00A75C39" w:rsidRPr="00A75C39" w:rsidRDefault="00A75C39" w:rsidP="00B247E7">
            <w:pPr>
              <w:spacing w:after="0" w:line="240" w:lineRule="auto"/>
              <w:jc w:val="right"/>
              <w:rPr>
                <w:rFonts w:ascii="Calibri" w:eastAsia="Times New Roman" w:hAnsi="Calibri" w:cs="Calibri"/>
                <w:b/>
                <w:bCs/>
                <w:sz w:val="24"/>
                <w:szCs w:val="24"/>
                <w:lang w:eastAsia="en-GB"/>
              </w:rPr>
            </w:pPr>
          </w:p>
        </w:tc>
        <w:tc>
          <w:tcPr>
            <w:tcW w:w="1134" w:type="dxa"/>
            <w:tcBorders>
              <w:top w:val="single" w:sz="8" w:space="0" w:color="auto"/>
              <w:left w:val="nil"/>
              <w:bottom w:val="single" w:sz="8" w:space="0" w:color="auto"/>
              <w:right w:val="single" w:sz="8" w:space="0" w:color="auto"/>
            </w:tcBorders>
            <w:shd w:val="clear" w:color="000000" w:fill="C6D9F1" w:themeFill="text2" w:themeFillTint="33"/>
            <w:noWrap/>
            <w:vAlign w:val="center"/>
          </w:tcPr>
          <w:p w:rsidR="00A75C39" w:rsidRPr="00A75C39" w:rsidRDefault="00A75C39" w:rsidP="00B247E7">
            <w:pPr>
              <w:spacing w:after="0" w:line="240" w:lineRule="auto"/>
              <w:jc w:val="right"/>
              <w:rPr>
                <w:rFonts w:ascii="Calibri" w:eastAsia="Times New Roman" w:hAnsi="Calibri" w:cs="Calibri"/>
                <w:b/>
                <w:bCs/>
                <w:sz w:val="24"/>
                <w:szCs w:val="24"/>
                <w:lang w:eastAsia="en-GB"/>
              </w:rPr>
            </w:pPr>
          </w:p>
        </w:tc>
        <w:tc>
          <w:tcPr>
            <w:tcW w:w="1418" w:type="dxa"/>
            <w:tcBorders>
              <w:top w:val="single" w:sz="8" w:space="0" w:color="auto"/>
              <w:left w:val="nil"/>
              <w:bottom w:val="single" w:sz="8" w:space="0" w:color="auto"/>
              <w:right w:val="single" w:sz="8" w:space="0" w:color="auto"/>
            </w:tcBorders>
            <w:shd w:val="clear" w:color="000000" w:fill="C6D9F1" w:themeFill="text2" w:themeFillTint="33"/>
            <w:noWrap/>
            <w:vAlign w:val="bottom"/>
          </w:tcPr>
          <w:p w:rsidR="00A75C39" w:rsidRPr="00A75C39" w:rsidRDefault="00A75C39" w:rsidP="00B247E7">
            <w:pPr>
              <w:spacing w:after="0" w:line="240" w:lineRule="auto"/>
              <w:jc w:val="right"/>
              <w:rPr>
                <w:rFonts w:ascii="Calibri" w:eastAsia="Times New Roman" w:hAnsi="Calibri" w:cs="Calibri"/>
                <w:b/>
                <w:bCs/>
                <w:sz w:val="24"/>
                <w:szCs w:val="24"/>
                <w:lang w:eastAsia="en-GB"/>
              </w:rPr>
            </w:pPr>
          </w:p>
        </w:tc>
        <w:tc>
          <w:tcPr>
            <w:tcW w:w="1275" w:type="dxa"/>
            <w:tcBorders>
              <w:top w:val="single" w:sz="8" w:space="0" w:color="auto"/>
              <w:left w:val="nil"/>
              <w:bottom w:val="single" w:sz="8" w:space="0" w:color="auto"/>
              <w:right w:val="single" w:sz="8" w:space="0" w:color="auto"/>
            </w:tcBorders>
            <w:shd w:val="clear" w:color="000000" w:fill="C6D9F1" w:themeFill="text2" w:themeFillTint="33"/>
            <w:noWrap/>
            <w:vAlign w:val="bottom"/>
          </w:tcPr>
          <w:p w:rsidR="00A75C39" w:rsidRPr="00A75C39" w:rsidRDefault="00A75C39" w:rsidP="00B247E7">
            <w:pPr>
              <w:spacing w:after="0" w:line="240" w:lineRule="auto"/>
              <w:jc w:val="right"/>
              <w:rPr>
                <w:rFonts w:ascii="Calibri" w:eastAsia="Times New Roman" w:hAnsi="Calibri" w:cs="Calibri"/>
                <w:b/>
                <w:bCs/>
                <w:sz w:val="24"/>
                <w:szCs w:val="24"/>
                <w:lang w:eastAsia="en-GB"/>
              </w:rPr>
            </w:pPr>
          </w:p>
        </w:tc>
        <w:tc>
          <w:tcPr>
            <w:tcW w:w="1134"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A75C39" w:rsidRPr="00A75C39" w:rsidRDefault="00A75C39" w:rsidP="00B247E7">
            <w:pPr>
              <w:spacing w:after="0" w:line="240" w:lineRule="auto"/>
              <w:jc w:val="right"/>
              <w:rPr>
                <w:rFonts w:ascii="Calibri" w:eastAsia="Times New Roman" w:hAnsi="Calibri" w:cs="Calibri"/>
                <w:b/>
                <w:bCs/>
                <w:sz w:val="24"/>
                <w:szCs w:val="24"/>
                <w:lang w:eastAsia="en-GB"/>
              </w:rPr>
            </w:pPr>
            <w:r w:rsidRPr="00A75C39">
              <w:rPr>
                <w:rFonts w:ascii="Calibri" w:eastAsia="Times New Roman" w:hAnsi="Calibri" w:cs="Calibri"/>
                <w:b/>
                <w:bCs/>
                <w:sz w:val="24"/>
                <w:szCs w:val="24"/>
                <w:lang w:eastAsia="en-GB"/>
              </w:rPr>
              <w:t>27.2%</w:t>
            </w:r>
          </w:p>
        </w:tc>
        <w:tc>
          <w:tcPr>
            <w:tcW w:w="1134" w:type="dxa"/>
            <w:tcBorders>
              <w:top w:val="single" w:sz="8" w:space="0" w:color="auto"/>
              <w:left w:val="nil"/>
              <w:bottom w:val="single" w:sz="8" w:space="0" w:color="auto"/>
              <w:right w:val="single" w:sz="8" w:space="0" w:color="auto"/>
            </w:tcBorders>
            <w:shd w:val="clear" w:color="auto" w:fill="8DB3E2" w:themeFill="text2" w:themeFillTint="66"/>
            <w:noWrap/>
            <w:vAlign w:val="bottom"/>
          </w:tcPr>
          <w:p w:rsidR="00A75C39" w:rsidRPr="00A75C39" w:rsidRDefault="00A75C39" w:rsidP="00B247E7">
            <w:pPr>
              <w:spacing w:after="0" w:line="240" w:lineRule="auto"/>
              <w:jc w:val="right"/>
              <w:rPr>
                <w:rFonts w:ascii="Calibri" w:eastAsia="Times New Roman" w:hAnsi="Calibri" w:cs="Calibri"/>
                <w:b/>
                <w:bCs/>
                <w:sz w:val="24"/>
                <w:szCs w:val="24"/>
                <w:lang w:eastAsia="en-GB"/>
              </w:rPr>
            </w:pPr>
            <w:r w:rsidRPr="00A75C39">
              <w:rPr>
                <w:rFonts w:ascii="Calibri" w:eastAsia="Times New Roman" w:hAnsi="Calibri" w:cs="Calibri"/>
                <w:b/>
                <w:bCs/>
                <w:sz w:val="24"/>
                <w:szCs w:val="24"/>
                <w:lang w:eastAsia="en-GB"/>
              </w:rPr>
              <w:t>18.5%</w:t>
            </w:r>
          </w:p>
        </w:tc>
      </w:tr>
    </w:tbl>
    <w:p w:rsidR="00B247E7" w:rsidRPr="00306159" w:rsidRDefault="00B247E7" w:rsidP="00B247E7">
      <w:pPr>
        <w:spacing w:before="240"/>
        <w:rPr>
          <w:rFonts w:ascii="Arial" w:hAnsi="Arial" w:cs="Arial"/>
          <w:b/>
          <w:sz w:val="24"/>
          <w:szCs w:val="24"/>
        </w:rPr>
      </w:pPr>
      <w:r w:rsidRPr="00306159">
        <w:rPr>
          <w:rFonts w:ascii="Arial" w:hAnsi="Arial" w:cs="Arial"/>
          <w:b/>
          <w:sz w:val="24"/>
          <w:szCs w:val="24"/>
        </w:rPr>
        <w:t>What do these results mean for the Trust?</w:t>
      </w:r>
    </w:p>
    <w:p w:rsidR="00B05EAD" w:rsidRPr="00306159" w:rsidRDefault="00306159" w:rsidP="00B247E7">
      <w:pPr>
        <w:spacing w:before="240"/>
        <w:rPr>
          <w:rFonts w:ascii="Arial" w:hAnsi="Arial" w:cs="Arial"/>
        </w:rPr>
      </w:pPr>
      <w:r>
        <w:rPr>
          <w:rFonts w:ascii="Arial" w:hAnsi="Arial" w:cs="Arial"/>
        </w:rPr>
        <w:t xml:space="preserve">It shows </w:t>
      </w:r>
      <w:r w:rsidR="00B05EAD" w:rsidRPr="00306159">
        <w:rPr>
          <w:rFonts w:ascii="Arial" w:hAnsi="Arial" w:cs="Arial"/>
        </w:rPr>
        <w:t>the GPG trend at LDH and BH pre</w:t>
      </w:r>
      <w:r>
        <w:rPr>
          <w:rFonts w:ascii="Arial" w:hAnsi="Arial" w:cs="Arial"/>
        </w:rPr>
        <w:t xml:space="preserve">-merger </w:t>
      </w:r>
      <w:r w:rsidR="00B05EAD" w:rsidRPr="00306159">
        <w:rPr>
          <w:rFonts w:ascii="Arial" w:hAnsi="Arial" w:cs="Arial"/>
        </w:rPr>
        <w:t xml:space="preserve">and first </w:t>
      </w:r>
      <w:r>
        <w:rPr>
          <w:rFonts w:ascii="Arial" w:hAnsi="Arial" w:cs="Arial"/>
        </w:rPr>
        <w:t xml:space="preserve">2 </w:t>
      </w:r>
      <w:r w:rsidR="00B05EAD" w:rsidRPr="00306159">
        <w:rPr>
          <w:rFonts w:ascii="Arial" w:hAnsi="Arial" w:cs="Arial"/>
        </w:rPr>
        <w:t>year</w:t>
      </w:r>
      <w:r>
        <w:rPr>
          <w:rFonts w:ascii="Arial" w:hAnsi="Arial" w:cs="Arial"/>
        </w:rPr>
        <w:t>s</w:t>
      </w:r>
      <w:r w:rsidR="00B05EAD" w:rsidRPr="00306159">
        <w:rPr>
          <w:rFonts w:ascii="Arial" w:hAnsi="Arial" w:cs="Arial"/>
        </w:rPr>
        <w:t xml:space="preserve"> </w:t>
      </w:r>
      <w:r>
        <w:rPr>
          <w:rFonts w:ascii="Arial" w:hAnsi="Arial" w:cs="Arial"/>
        </w:rPr>
        <w:t>BHFT post-</w:t>
      </w:r>
      <w:r w:rsidR="00B05EAD" w:rsidRPr="00306159">
        <w:rPr>
          <w:rFonts w:ascii="Arial" w:hAnsi="Arial" w:cs="Arial"/>
        </w:rPr>
        <w:t>merger</w:t>
      </w:r>
      <w:r>
        <w:rPr>
          <w:rFonts w:ascii="Arial" w:hAnsi="Arial" w:cs="Arial"/>
        </w:rPr>
        <w:t xml:space="preserve"> to help </w:t>
      </w:r>
      <w:r w:rsidR="00B05EAD" w:rsidRPr="00306159">
        <w:rPr>
          <w:rFonts w:ascii="Arial" w:hAnsi="Arial" w:cs="Arial"/>
        </w:rPr>
        <w:t xml:space="preserve">track and address any site differentials. LDH mean gap </w:t>
      </w:r>
      <w:r>
        <w:rPr>
          <w:rFonts w:ascii="Arial" w:hAnsi="Arial" w:cs="Arial"/>
        </w:rPr>
        <w:t xml:space="preserve">made </w:t>
      </w:r>
      <w:r w:rsidR="00B05EAD" w:rsidRPr="00306159">
        <w:rPr>
          <w:rFonts w:ascii="Arial" w:hAnsi="Arial" w:cs="Arial"/>
        </w:rPr>
        <w:t xml:space="preserve">slow improvement each year, vice versa for the median. </w:t>
      </w:r>
      <w:r>
        <w:rPr>
          <w:rFonts w:ascii="Arial" w:hAnsi="Arial" w:cs="Arial"/>
        </w:rPr>
        <w:t>BH</w:t>
      </w:r>
      <w:r w:rsidR="00B05EAD" w:rsidRPr="00306159">
        <w:rPr>
          <w:rFonts w:ascii="Arial" w:hAnsi="Arial" w:cs="Arial"/>
        </w:rPr>
        <w:t xml:space="preserve"> mean / median gap widened slightly each year.  </w:t>
      </w:r>
    </w:p>
    <w:p w:rsidR="00306159" w:rsidRDefault="00B247E7" w:rsidP="00B247E7">
      <w:pPr>
        <w:spacing w:before="240"/>
        <w:rPr>
          <w:rFonts w:ascii="Arial" w:hAnsi="Arial" w:cs="Arial"/>
        </w:rPr>
      </w:pPr>
      <w:r w:rsidRPr="00306159">
        <w:rPr>
          <w:rFonts w:ascii="Arial" w:hAnsi="Arial" w:cs="Arial"/>
        </w:rPr>
        <w:t xml:space="preserve">The median pay gap result is often considered to be more representative of the </w:t>
      </w:r>
      <w:r w:rsidR="00B05EAD" w:rsidRPr="00306159">
        <w:rPr>
          <w:rFonts w:ascii="Arial" w:hAnsi="Arial" w:cs="Arial"/>
        </w:rPr>
        <w:t>GPG</w:t>
      </w:r>
      <w:r w:rsidRPr="00306159">
        <w:rPr>
          <w:rFonts w:ascii="Arial" w:hAnsi="Arial" w:cs="Arial"/>
        </w:rPr>
        <w:t xml:space="preserve"> across the workforce. However it does not account for small numbers of higher paid employees that could skew the result, it is the mean (or average) result that highlights this. </w:t>
      </w:r>
    </w:p>
    <w:p w:rsidR="00B247E7" w:rsidRPr="00306159" w:rsidRDefault="00B247E7" w:rsidP="00B247E7">
      <w:pPr>
        <w:spacing w:before="240"/>
        <w:rPr>
          <w:rFonts w:ascii="Arial" w:hAnsi="Arial" w:cs="Arial"/>
        </w:rPr>
      </w:pPr>
      <w:r w:rsidRPr="00306159">
        <w:rPr>
          <w:rFonts w:ascii="Arial" w:hAnsi="Arial" w:cs="Arial"/>
        </w:rPr>
        <w:t xml:space="preserve">BHFT </w:t>
      </w:r>
      <w:r w:rsidR="00306159">
        <w:rPr>
          <w:rFonts w:ascii="Arial" w:hAnsi="Arial" w:cs="Arial"/>
        </w:rPr>
        <w:t xml:space="preserve">mean and </w:t>
      </w:r>
      <w:r w:rsidRPr="00306159">
        <w:rPr>
          <w:rFonts w:ascii="Arial" w:hAnsi="Arial" w:cs="Arial"/>
        </w:rPr>
        <w:t>median pay gap</w:t>
      </w:r>
      <w:r w:rsidR="00306159">
        <w:rPr>
          <w:rFonts w:ascii="Arial" w:hAnsi="Arial" w:cs="Arial"/>
        </w:rPr>
        <w:t xml:space="preserve"> has improved on Y/E March 2021 at 27.2% and 18.5%. The</w:t>
      </w:r>
      <w:r w:rsidRPr="00306159">
        <w:rPr>
          <w:rFonts w:ascii="Arial" w:hAnsi="Arial" w:cs="Arial"/>
        </w:rPr>
        <w:t xml:space="preserve"> mean (or average) pay gap of 2</w:t>
      </w:r>
      <w:r w:rsidR="00306159">
        <w:rPr>
          <w:rFonts w:ascii="Arial" w:hAnsi="Arial" w:cs="Arial"/>
        </w:rPr>
        <w:t>7.2%</w:t>
      </w:r>
      <w:r w:rsidRPr="00306159">
        <w:rPr>
          <w:rFonts w:ascii="Arial" w:hAnsi="Arial" w:cs="Arial"/>
        </w:rPr>
        <w:t xml:space="preserve"> needs to be examined in more detail.</w:t>
      </w:r>
    </w:p>
    <w:p w:rsidR="00B247E7" w:rsidRPr="00306159" w:rsidRDefault="00B247E7" w:rsidP="00B247E7">
      <w:pPr>
        <w:spacing w:before="240"/>
        <w:rPr>
          <w:rFonts w:ascii="Arial" w:hAnsi="Arial" w:cs="Arial"/>
          <w:b/>
          <w:sz w:val="24"/>
          <w:szCs w:val="24"/>
        </w:rPr>
      </w:pPr>
      <w:r w:rsidRPr="00306159">
        <w:rPr>
          <w:rFonts w:ascii="Arial" w:hAnsi="Arial" w:cs="Arial"/>
          <w:b/>
          <w:sz w:val="24"/>
          <w:szCs w:val="24"/>
          <w:highlight w:val="lightGray"/>
        </w:rPr>
        <w:t>Why is the gap so high?</w:t>
      </w:r>
      <w:r w:rsidRPr="00306159">
        <w:rPr>
          <w:rFonts w:ascii="Arial" w:hAnsi="Arial" w:cs="Arial"/>
          <w:b/>
          <w:sz w:val="24"/>
          <w:szCs w:val="24"/>
        </w:rPr>
        <w:t xml:space="preserve"> </w:t>
      </w:r>
    </w:p>
    <w:p w:rsidR="00B247E7" w:rsidRPr="00306159" w:rsidRDefault="00262514" w:rsidP="002E1839">
      <w:pPr>
        <w:rPr>
          <w:rFonts w:ascii="Arial" w:hAnsi="Arial" w:cs="Arial"/>
          <w:b/>
          <w:highlight w:val="lightGray"/>
        </w:rPr>
      </w:pPr>
      <w:r w:rsidRPr="00306159">
        <w:rPr>
          <w:rFonts w:ascii="Arial" w:hAnsi="Arial" w:cs="Arial"/>
        </w:rPr>
        <w:t>The Gender pay gap at BHFT does not stem from paying men and women differently for the same or equivalent work. It is more a result of the roles in which men and women work within the BHFT and the salaries these roles attract.</w:t>
      </w:r>
    </w:p>
    <w:p w:rsidR="002E1839" w:rsidRPr="00306159" w:rsidRDefault="002E1839" w:rsidP="002E1839">
      <w:pPr>
        <w:rPr>
          <w:rFonts w:ascii="Arial" w:hAnsi="Arial" w:cs="Arial"/>
          <w:b/>
        </w:rPr>
      </w:pPr>
      <w:r w:rsidRPr="00306159">
        <w:rPr>
          <w:rFonts w:ascii="Arial" w:hAnsi="Arial" w:cs="Arial"/>
          <w:b/>
          <w:highlight w:val="lightGray"/>
        </w:rPr>
        <w:t>PAY GAP BY STAFF GROUP</w:t>
      </w:r>
      <w:r w:rsidRPr="00306159">
        <w:rPr>
          <w:rFonts w:ascii="Arial" w:hAnsi="Arial" w:cs="Arial"/>
          <w:b/>
        </w:rPr>
        <w:t xml:space="preserve"> </w:t>
      </w:r>
    </w:p>
    <w:p w:rsidR="00ED031F" w:rsidRPr="00306159" w:rsidRDefault="00ED031F" w:rsidP="002E1839">
      <w:pPr>
        <w:rPr>
          <w:rFonts w:ascii="Arial" w:hAnsi="Arial" w:cs="Arial"/>
        </w:rPr>
      </w:pPr>
      <w:r w:rsidRPr="00306159">
        <w:rPr>
          <w:rFonts w:ascii="Arial" w:hAnsi="Arial" w:cs="Arial"/>
        </w:rPr>
        <w:t xml:space="preserve">The gender pay gap position is based on the </w:t>
      </w:r>
      <w:r w:rsidR="00262514" w:rsidRPr="00306159">
        <w:rPr>
          <w:rFonts w:ascii="Arial" w:hAnsi="Arial" w:cs="Arial"/>
        </w:rPr>
        <w:t xml:space="preserve">gender of staff </w:t>
      </w:r>
      <w:r w:rsidRPr="00306159">
        <w:rPr>
          <w:rFonts w:ascii="Arial" w:hAnsi="Arial" w:cs="Arial"/>
        </w:rPr>
        <w:t>within t</w:t>
      </w:r>
      <w:r w:rsidR="003E0C40" w:rsidRPr="00306159">
        <w:rPr>
          <w:rFonts w:ascii="Arial" w:hAnsi="Arial" w:cs="Arial"/>
        </w:rPr>
        <w:t xml:space="preserve">he respective pay </w:t>
      </w:r>
      <w:r w:rsidRPr="00306159">
        <w:rPr>
          <w:rFonts w:ascii="Arial" w:hAnsi="Arial" w:cs="Arial"/>
        </w:rPr>
        <w:t xml:space="preserve">groups. A negative percentage </w:t>
      </w:r>
      <w:r w:rsidR="003E0C40" w:rsidRPr="00306159">
        <w:rPr>
          <w:rFonts w:ascii="Arial" w:hAnsi="Arial" w:cs="Arial"/>
        </w:rPr>
        <w:t xml:space="preserve">gap </w:t>
      </w:r>
      <w:r w:rsidRPr="00306159">
        <w:rPr>
          <w:rFonts w:ascii="Arial" w:hAnsi="Arial" w:cs="Arial"/>
        </w:rPr>
        <w:t xml:space="preserve">indicates in favour of females </w:t>
      </w:r>
      <w:r w:rsidR="003E0C40" w:rsidRPr="00306159">
        <w:rPr>
          <w:rFonts w:ascii="Arial" w:hAnsi="Arial" w:cs="Arial"/>
        </w:rPr>
        <w:t xml:space="preserve">and a </w:t>
      </w:r>
      <w:r w:rsidRPr="00306159">
        <w:rPr>
          <w:rFonts w:ascii="Arial" w:hAnsi="Arial" w:cs="Arial"/>
        </w:rPr>
        <w:t xml:space="preserve">positive percentage indicates a negative gap for females. </w:t>
      </w:r>
    </w:p>
    <w:p w:rsidR="00F479FD" w:rsidRPr="00306159" w:rsidRDefault="00AD713E" w:rsidP="002E1839">
      <w:pPr>
        <w:rPr>
          <w:rFonts w:ascii="Calibri" w:eastAsia="Times New Roman" w:hAnsi="Calibri" w:cs="Calibri"/>
          <w:b/>
          <w:bCs/>
          <w:lang w:eastAsia="en-GB"/>
        </w:rPr>
      </w:pPr>
      <w:r w:rsidRPr="00306159">
        <w:rPr>
          <w:rFonts w:ascii="Arial" w:hAnsi="Arial" w:cs="Arial"/>
        </w:rPr>
        <w:t xml:space="preserve">The chart below shows the gender split of the </w:t>
      </w:r>
      <w:r w:rsidR="00306159">
        <w:rPr>
          <w:rFonts w:ascii="Arial" w:hAnsi="Arial" w:cs="Arial"/>
        </w:rPr>
        <w:t xml:space="preserve">8375 </w:t>
      </w:r>
      <w:r w:rsidRPr="00306159">
        <w:rPr>
          <w:rFonts w:ascii="Arial" w:hAnsi="Arial" w:cs="Arial"/>
        </w:rPr>
        <w:t>BHFT staff across the staff groups at year end 202</w:t>
      </w:r>
      <w:r w:rsidR="00306159">
        <w:rPr>
          <w:rFonts w:ascii="Arial" w:hAnsi="Arial" w:cs="Arial"/>
        </w:rPr>
        <w:t>2</w:t>
      </w:r>
      <w:r w:rsidRPr="00306159">
        <w:rPr>
          <w:rFonts w:ascii="Arial" w:hAnsi="Arial" w:cs="Arial"/>
        </w:rPr>
        <w:t xml:space="preserve">. </w:t>
      </w:r>
      <w:r w:rsidR="00E56178" w:rsidRPr="00306159">
        <w:rPr>
          <w:rFonts w:ascii="Arial" w:eastAsia="Times New Roman" w:hAnsi="Arial" w:cs="Arial"/>
          <w:b/>
          <w:bCs/>
          <w:lang w:eastAsia="en-GB"/>
        </w:rPr>
        <w:t>A minus pay gap result is positive for females</w:t>
      </w:r>
      <w:r w:rsidR="00E56178" w:rsidRPr="00306159">
        <w:rPr>
          <w:rFonts w:ascii="Calibri" w:eastAsia="Times New Roman" w:hAnsi="Calibri" w:cs="Calibri"/>
          <w:b/>
          <w:bCs/>
          <w:lang w:eastAsia="en-GB"/>
        </w:rPr>
        <w:t xml:space="preserve"> </w:t>
      </w:r>
    </w:p>
    <w:p w:rsidR="00F479FD" w:rsidRDefault="00F479FD" w:rsidP="00F479FD">
      <w:pPr>
        <w:rPr>
          <w:rFonts w:ascii="Arial" w:hAnsi="Arial" w:cs="Arial"/>
          <w:b/>
        </w:rPr>
      </w:pPr>
      <w:r w:rsidRPr="00306159">
        <w:rPr>
          <w:rFonts w:ascii="Arial" w:hAnsi="Arial" w:cs="Arial"/>
          <w:b/>
        </w:rPr>
        <w:t>BHFT – Gender Split and Pay Gap results across staff groups at Year End March 202</w:t>
      </w:r>
      <w:r w:rsidR="00306159">
        <w:rPr>
          <w:rFonts w:ascii="Arial" w:hAnsi="Arial" w:cs="Arial"/>
          <w:b/>
        </w:rPr>
        <w:t>2</w:t>
      </w:r>
      <w:r w:rsidRPr="00306159">
        <w:rPr>
          <w:rFonts w:ascii="Arial" w:hAnsi="Arial" w:cs="Arial"/>
          <w:b/>
        </w:rPr>
        <w:t xml:space="preserve">. </w:t>
      </w:r>
    </w:p>
    <w:tbl>
      <w:tblPr>
        <w:tblW w:w="9733" w:type="dxa"/>
        <w:jc w:val="center"/>
        <w:tblLayout w:type="fixed"/>
        <w:tblLook w:val="04A0" w:firstRow="1" w:lastRow="0" w:firstColumn="1" w:lastColumn="0" w:noHBand="0" w:noVBand="1"/>
      </w:tblPr>
      <w:tblGrid>
        <w:gridCol w:w="2552"/>
        <w:gridCol w:w="944"/>
        <w:gridCol w:w="894"/>
        <w:gridCol w:w="829"/>
        <w:gridCol w:w="937"/>
        <w:gridCol w:w="873"/>
        <w:gridCol w:w="904"/>
        <w:gridCol w:w="875"/>
        <w:gridCol w:w="925"/>
      </w:tblGrid>
      <w:tr w:rsidR="0071374E" w:rsidRPr="00306159" w:rsidTr="0001106D">
        <w:trPr>
          <w:trHeight w:val="574"/>
          <w:jc w:val="center"/>
        </w:trPr>
        <w:tc>
          <w:tcPr>
            <w:tcW w:w="255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1374E" w:rsidRPr="00D067E4" w:rsidRDefault="0071374E" w:rsidP="00306159">
            <w:pPr>
              <w:spacing w:after="0" w:line="240" w:lineRule="auto"/>
              <w:jc w:val="center"/>
              <w:rPr>
                <w:rFonts w:ascii="Calibri" w:eastAsia="Times New Roman" w:hAnsi="Calibri" w:cs="Calibri"/>
                <w:b/>
                <w:bCs/>
                <w:sz w:val="24"/>
                <w:szCs w:val="24"/>
                <w:lang w:eastAsia="en-GB"/>
              </w:rPr>
            </w:pPr>
            <w:r w:rsidRPr="00D067E4">
              <w:rPr>
                <w:rFonts w:ascii="Calibri" w:eastAsia="Times New Roman" w:hAnsi="Calibri" w:cs="Calibri"/>
                <w:b/>
                <w:bCs/>
                <w:sz w:val="24"/>
                <w:szCs w:val="24"/>
                <w:lang w:eastAsia="en-GB"/>
              </w:rPr>
              <w:t>Staff Group</w:t>
            </w:r>
          </w:p>
        </w:tc>
        <w:tc>
          <w:tcPr>
            <w:tcW w:w="944" w:type="dxa"/>
            <w:tcBorders>
              <w:top w:val="single" w:sz="4" w:space="0" w:color="auto"/>
              <w:left w:val="nil"/>
              <w:bottom w:val="single" w:sz="4" w:space="0" w:color="auto"/>
              <w:right w:val="single" w:sz="4" w:space="0" w:color="auto"/>
            </w:tcBorders>
            <w:shd w:val="clear" w:color="000000" w:fill="BDD7EE"/>
            <w:vAlign w:val="center"/>
            <w:hideMark/>
          </w:tcPr>
          <w:p w:rsidR="0071374E" w:rsidRPr="00D067E4" w:rsidRDefault="0071374E" w:rsidP="00306159">
            <w:pPr>
              <w:spacing w:after="0" w:line="240" w:lineRule="auto"/>
              <w:jc w:val="center"/>
              <w:rPr>
                <w:rFonts w:ascii="Calibri" w:eastAsia="Times New Roman" w:hAnsi="Calibri" w:cs="Calibri"/>
                <w:b/>
                <w:bCs/>
                <w:lang w:eastAsia="en-GB"/>
              </w:rPr>
            </w:pPr>
            <w:r w:rsidRPr="00D067E4">
              <w:rPr>
                <w:rFonts w:ascii="Calibri" w:eastAsia="Times New Roman" w:hAnsi="Calibri" w:cs="Calibri"/>
                <w:b/>
                <w:bCs/>
                <w:lang w:eastAsia="en-GB"/>
              </w:rPr>
              <w:t>Avg. Hourly Rate</w:t>
            </w:r>
          </w:p>
        </w:tc>
        <w:tc>
          <w:tcPr>
            <w:tcW w:w="894" w:type="dxa"/>
            <w:tcBorders>
              <w:top w:val="single" w:sz="4" w:space="0" w:color="auto"/>
              <w:left w:val="nil"/>
              <w:bottom w:val="single" w:sz="4" w:space="0" w:color="auto"/>
              <w:right w:val="single" w:sz="4" w:space="0" w:color="auto"/>
            </w:tcBorders>
            <w:shd w:val="clear" w:color="000000" w:fill="BDD7EE"/>
            <w:vAlign w:val="center"/>
            <w:hideMark/>
          </w:tcPr>
          <w:p w:rsidR="0071374E" w:rsidRPr="00D067E4" w:rsidRDefault="0071374E" w:rsidP="00306159">
            <w:pPr>
              <w:spacing w:after="0" w:line="240" w:lineRule="auto"/>
              <w:jc w:val="center"/>
              <w:rPr>
                <w:rFonts w:ascii="Calibri" w:eastAsia="Times New Roman" w:hAnsi="Calibri" w:cs="Calibri"/>
                <w:b/>
                <w:bCs/>
                <w:lang w:eastAsia="en-GB"/>
              </w:rPr>
            </w:pPr>
            <w:r w:rsidRPr="00D067E4">
              <w:rPr>
                <w:rFonts w:ascii="Calibri" w:eastAsia="Times New Roman" w:hAnsi="Calibri" w:cs="Calibri"/>
                <w:b/>
                <w:bCs/>
                <w:lang w:eastAsia="en-GB"/>
              </w:rPr>
              <w:t>Female No</w:t>
            </w:r>
          </w:p>
        </w:tc>
        <w:tc>
          <w:tcPr>
            <w:tcW w:w="829" w:type="dxa"/>
            <w:tcBorders>
              <w:top w:val="single" w:sz="4" w:space="0" w:color="auto"/>
              <w:left w:val="nil"/>
              <w:bottom w:val="single" w:sz="4" w:space="0" w:color="auto"/>
              <w:right w:val="single" w:sz="4" w:space="0" w:color="auto"/>
            </w:tcBorders>
            <w:shd w:val="clear" w:color="000000" w:fill="BDD7EE"/>
            <w:vAlign w:val="center"/>
            <w:hideMark/>
          </w:tcPr>
          <w:p w:rsidR="0071374E" w:rsidRPr="00D067E4" w:rsidRDefault="0071374E" w:rsidP="00306159">
            <w:pPr>
              <w:spacing w:after="0" w:line="240" w:lineRule="auto"/>
              <w:jc w:val="center"/>
              <w:rPr>
                <w:rFonts w:ascii="Calibri" w:eastAsia="Times New Roman" w:hAnsi="Calibri" w:cs="Calibri"/>
                <w:b/>
                <w:bCs/>
                <w:lang w:eastAsia="en-GB"/>
              </w:rPr>
            </w:pPr>
            <w:r w:rsidRPr="00D067E4">
              <w:rPr>
                <w:rFonts w:ascii="Calibri" w:eastAsia="Times New Roman" w:hAnsi="Calibri" w:cs="Calibri"/>
                <w:b/>
                <w:bCs/>
                <w:lang w:eastAsia="en-GB"/>
              </w:rPr>
              <w:t>Male no</w:t>
            </w:r>
          </w:p>
        </w:tc>
        <w:tc>
          <w:tcPr>
            <w:tcW w:w="937" w:type="dxa"/>
            <w:tcBorders>
              <w:top w:val="single" w:sz="4" w:space="0" w:color="auto"/>
              <w:left w:val="nil"/>
              <w:bottom w:val="single" w:sz="4" w:space="0" w:color="auto"/>
              <w:right w:val="single" w:sz="4" w:space="0" w:color="auto"/>
            </w:tcBorders>
            <w:shd w:val="clear" w:color="000000" w:fill="BDD7EE"/>
            <w:vAlign w:val="center"/>
            <w:hideMark/>
          </w:tcPr>
          <w:p w:rsidR="0071374E" w:rsidRPr="00D067E4" w:rsidRDefault="0071374E" w:rsidP="00306159">
            <w:pPr>
              <w:spacing w:after="0" w:line="240" w:lineRule="auto"/>
              <w:jc w:val="center"/>
              <w:rPr>
                <w:rFonts w:ascii="Calibri" w:eastAsia="Times New Roman" w:hAnsi="Calibri" w:cs="Calibri"/>
                <w:b/>
                <w:bCs/>
                <w:lang w:eastAsia="en-GB"/>
              </w:rPr>
            </w:pPr>
            <w:r w:rsidRPr="00D067E4">
              <w:rPr>
                <w:rFonts w:ascii="Calibri" w:eastAsia="Times New Roman" w:hAnsi="Calibri" w:cs="Calibri"/>
                <w:b/>
                <w:bCs/>
                <w:lang w:eastAsia="en-GB"/>
              </w:rPr>
              <w:t>Female Hourly Rate</w:t>
            </w:r>
          </w:p>
        </w:tc>
        <w:tc>
          <w:tcPr>
            <w:tcW w:w="873" w:type="dxa"/>
            <w:tcBorders>
              <w:top w:val="single" w:sz="4" w:space="0" w:color="auto"/>
              <w:left w:val="nil"/>
              <w:bottom w:val="single" w:sz="4" w:space="0" w:color="auto"/>
              <w:right w:val="single" w:sz="4" w:space="0" w:color="auto"/>
            </w:tcBorders>
            <w:shd w:val="clear" w:color="000000" w:fill="BDD7EE"/>
            <w:vAlign w:val="center"/>
            <w:hideMark/>
          </w:tcPr>
          <w:p w:rsidR="0071374E" w:rsidRPr="00D067E4" w:rsidRDefault="0071374E" w:rsidP="0001106D">
            <w:pPr>
              <w:spacing w:after="0" w:line="240" w:lineRule="auto"/>
              <w:jc w:val="center"/>
              <w:rPr>
                <w:rFonts w:ascii="Calibri" w:eastAsia="Times New Roman" w:hAnsi="Calibri" w:cs="Calibri"/>
                <w:b/>
                <w:bCs/>
                <w:lang w:eastAsia="en-GB"/>
              </w:rPr>
            </w:pPr>
            <w:r w:rsidRPr="00D067E4">
              <w:rPr>
                <w:rFonts w:ascii="Calibri" w:eastAsia="Times New Roman" w:hAnsi="Calibri" w:cs="Calibri"/>
                <w:b/>
                <w:bCs/>
                <w:lang w:eastAsia="en-GB"/>
              </w:rPr>
              <w:t>Male  Hourly Rate</w:t>
            </w:r>
          </w:p>
        </w:tc>
        <w:tc>
          <w:tcPr>
            <w:tcW w:w="904" w:type="dxa"/>
            <w:tcBorders>
              <w:top w:val="single" w:sz="4" w:space="0" w:color="auto"/>
              <w:left w:val="nil"/>
              <w:bottom w:val="single" w:sz="4" w:space="0" w:color="auto"/>
              <w:right w:val="single" w:sz="4" w:space="0" w:color="auto"/>
            </w:tcBorders>
            <w:shd w:val="clear" w:color="000000" w:fill="BDD7EE"/>
            <w:vAlign w:val="center"/>
            <w:hideMark/>
          </w:tcPr>
          <w:p w:rsidR="0071374E" w:rsidRPr="00D067E4" w:rsidRDefault="0071374E" w:rsidP="00306159">
            <w:pPr>
              <w:spacing w:after="0" w:line="240" w:lineRule="auto"/>
              <w:jc w:val="center"/>
              <w:rPr>
                <w:rFonts w:ascii="Calibri" w:eastAsia="Times New Roman" w:hAnsi="Calibri" w:cs="Calibri"/>
                <w:b/>
                <w:bCs/>
                <w:lang w:eastAsia="en-GB"/>
              </w:rPr>
            </w:pPr>
            <w:r w:rsidRPr="00D067E4">
              <w:rPr>
                <w:rFonts w:ascii="Calibri" w:eastAsia="Times New Roman" w:hAnsi="Calibri" w:cs="Calibri"/>
                <w:b/>
                <w:bCs/>
                <w:lang w:eastAsia="en-GB"/>
              </w:rPr>
              <w:t>Differ</w:t>
            </w:r>
          </w:p>
          <w:p w:rsidR="0071374E" w:rsidRPr="00D067E4" w:rsidRDefault="0071374E" w:rsidP="00306159">
            <w:pPr>
              <w:spacing w:after="0" w:line="240" w:lineRule="auto"/>
              <w:jc w:val="center"/>
              <w:rPr>
                <w:rFonts w:ascii="Calibri" w:eastAsia="Times New Roman" w:hAnsi="Calibri" w:cs="Calibri"/>
                <w:b/>
                <w:bCs/>
                <w:lang w:eastAsia="en-GB"/>
              </w:rPr>
            </w:pPr>
            <w:r w:rsidRPr="00D067E4">
              <w:rPr>
                <w:rFonts w:ascii="Calibri" w:eastAsia="Times New Roman" w:hAnsi="Calibri" w:cs="Calibri"/>
                <w:b/>
                <w:bCs/>
                <w:lang w:eastAsia="en-GB"/>
              </w:rPr>
              <w:t>-ence</w:t>
            </w:r>
          </w:p>
        </w:tc>
        <w:tc>
          <w:tcPr>
            <w:tcW w:w="875" w:type="dxa"/>
            <w:tcBorders>
              <w:top w:val="single" w:sz="4" w:space="0" w:color="auto"/>
              <w:left w:val="nil"/>
              <w:bottom w:val="single" w:sz="4" w:space="0" w:color="auto"/>
              <w:right w:val="single" w:sz="4" w:space="0" w:color="auto"/>
            </w:tcBorders>
            <w:shd w:val="clear" w:color="000000" w:fill="BDD7EE"/>
            <w:vAlign w:val="center"/>
            <w:hideMark/>
          </w:tcPr>
          <w:p w:rsidR="0071374E" w:rsidRPr="00D067E4" w:rsidRDefault="0071374E" w:rsidP="00306159">
            <w:pPr>
              <w:spacing w:after="0" w:line="240" w:lineRule="auto"/>
              <w:jc w:val="center"/>
              <w:rPr>
                <w:rFonts w:ascii="Calibri" w:eastAsia="Times New Roman" w:hAnsi="Calibri" w:cs="Calibri"/>
                <w:b/>
                <w:bCs/>
                <w:lang w:eastAsia="en-GB"/>
              </w:rPr>
            </w:pPr>
            <w:r w:rsidRPr="00D067E4">
              <w:rPr>
                <w:rFonts w:ascii="Calibri" w:eastAsia="Times New Roman" w:hAnsi="Calibri" w:cs="Calibri"/>
                <w:b/>
                <w:bCs/>
                <w:lang w:eastAsia="en-GB"/>
              </w:rPr>
              <w:t>Pay Gap % 2022</w:t>
            </w:r>
          </w:p>
        </w:tc>
        <w:tc>
          <w:tcPr>
            <w:tcW w:w="925" w:type="dxa"/>
            <w:tcBorders>
              <w:top w:val="single" w:sz="4" w:space="0" w:color="auto"/>
              <w:left w:val="nil"/>
              <w:bottom w:val="single" w:sz="4" w:space="0" w:color="auto"/>
              <w:right w:val="single" w:sz="4" w:space="0" w:color="auto"/>
            </w:tcBorders>
            <w:shd w:val="clear" w:color="000000" w:fill="BDD7EE"/>
          </w:tcPr>
          <w:p w:rsidR="0071374E" w:rsidRPr="00D067E4" w:rsidRDefault="0071374E" w:rsidP="00306159">
            <w:pPr>
              <w:spacing w:after="0" w:line="240" w:lineRule="auto"/>
              <w:jc w:val="center"/>
              <w:rPr>
                <w:rFonts w:ascii="Calibri" w:eastAsia="Times New Roman" w:hAnsi="Calibri" w:cs="Calibri"/>
                <w:b/>
                <w:bCs/>
                <w:lang w:eastAsia="en-GB"/>
              </w:rPr>
            </w:pPr>
            <w:r w:rsidRPr="00D067E4">
              <w:rPr>
                <w:rFonts w:ascii="Calibri" w:eastAsia="Times New Roman" w:hAnsi="Calibri" w:cs="Calibri"/>
                <w:b/>
                <w:bCs/>
                <w:lang w:eastAsia="en-GB"/>
              </w:rPr>
              <w:t>Pay gap 2021</w:t>
            </w:r>
          </w:p>
        </w:tc>
      </w:tr>
      <w:tr w:rsidR="0071374E" w:rsidRPr="00306159" w:rsidTr="0001106D">
        <w:trPr>
          <w:trHeight w:val="469"/>
          <w:jc w:val="center"/>
        </w:trPr>
        <w:tc>
          <w:tcPr>
            <w:tcW w:w="255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1374E" w:rsidRPr="00D067E4" w:rsidRDefault="0071374E" w:rsidP="0071374E">
            <w:pPr>
              <w:spacing w:after="0" w:line="240" w:lineRule="auto"/>
              <w:rPr>
                <w:rFonts w:ascii="Calibri" w:eastAsia="Times New Roman" w:hAnsi="Calibri" w:cs="Calibri"/>
                <w:b/>
                <w:bCs/>
                <w:lang w:eastAsia="en-GB"/>
              </w:rPr>
            </w:pPr>
            <w:r w:rsidRPr="00D067E4">
              <w:rPr>
                <w:rFonts w:ascii="Calibri" w:eastAsia="Times New Roman" w:hAnsi="Calibri" w:cs="Calibri"/>
                <w:b/>
                <w:bCs/>
                <w:lang w:eastAsia="en-GB"/>
              </w:rPr>
              <w:t>Add Prof Scientific Technic</w:t>
            </w:r>
          </w:p>
        </w:tc>
        <w:tc>
          <w:tcPr>
            <w:tcW w:w="94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£20.58</w:t>
            </w:r>
          </w:p>
        </w:tc>
        <w:tc>
          <w:tcPr>
            <w:tcW w:w="89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168</w:t>
            </w:r>
          </w:p>
        </w:tc>
        <w:tc>
          <w:tcPr>
            <w:tcW w:w="829"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83</w:t>
            </w:r>
          </w:p>
        </w:tc>
        <w:tc>
          <w:tcPr>
            <w:tcW w:w="937"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£19.89</w:t>
            </w:r>
          </w:p>
        </w:tc>
        <w:tc>
          <w:tcPr>
            <w:tcW w:w="873" w:type="dxa"/>
            <w:tcBorders>
              <w:top w:val="single" w:sz="4" w:space="0" w:color="auto"/>
              <w:left w:val="nil"/>
              <w:bottom w:val="single" w:sz="4" w:space="0" w:color="auto"/>
              <w:right w:val="single" w:sz="4" w:space="0" w:color="auto"/>
            </w:tcBorders>
            <w:shd w:val="clear" w:color="000000" w:fill="auto"/>
            <w:vAlign w:val="center"/>
            <w:hideMark/>
          </w:tcPr>
          <w:p w:rsidR="0071374E" w:rsidRPr="00D067E4" w:rsidRDefault="0071374E" w:rsidP="00306159">
            <w:pPr>
              <w:spacing w:after="0" w:line="240" w:lineRule="auto"/>
              <w:jc w:val="center"/>
              <w:rPr>
                <w:rFonts w:ascii="Calibri" w:eastAsia="Times New Roman" w:hAnsi="Calibri" w:cs="Calibri"/>
                <w:bCs/>
                <w:highlight w:val="lightGray"/>
                <w:lang w:eastAsia="en-GB"/>
              </w:rPr>
            </w:pPr>
            <w:r w:rsidRPr="00D067E4">
              <w:rPr>
                <w:rFonts w:ascii="Calibri" w:eastAsia="Times New Roman" w:hAnsi="Calibri" w:cs="Calibri"/>
                <w:bCs/>
                <w:highlight w:val="lightGray"/>
                <w:lang w:eastAsia="en-GB"/>
              </w:rPr>
              <w:t>£21.96</w:t>
            </w:r>
          </w:p>
        </w:tc>
        <w:tc>
          <w:tcPr>
            <w:tcW w:w="90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£2.07</w:t>
            </w:r>
          </w:p>
        </w:tc>
        <w:tc>
          <w:tcPr>
            <w:tcW w:w="875"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highlight w:val="lightGray"/>
                <w:lang w:eastAsia="en-GB"/>
              </w:rPr>
              <w:t>9.42%</w:t>
            </w:r>
          </w:p>
        </w:tc>
        <w:tc>
          <w:tcPr>
            <w:tcW w:w="925" w:type="dxa"/>
            <w:tcBorders>
              <w:top w:val="single" w:sz="4" w:space="0" w:color="auto"/>
              <w:left w:val="nil"/>
              <w:bottom w:val="single" w:sz="4" w:space="0" w:color="auto"/>
              <w:right w:val="single" w:sz="4" w:space="0" w:color="auto"/>
            </w:tcBorders>
            <w:shd w:val="clear" w:color="000000" w:fill="BDD7EE"/>
            <w:vAlign w:val="center"/>
          </w:tcPr>
          <w:p w:rsidR="0071374E" w:rsidRPr="00306159" w:rsidRDefault="0071374E" w:rsidP="0071374E">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9.28%</w:t>
            </w:r>
          </w:p>
        </w:tc>
      </w:tr>
      <w:tr w:rsidR="0071374E" w:rsidRPr="00306159" w:rsidTr="0001106D">
        <w:trPr>
          <w:trHeight w:val="293"/>
          <w:jc w:val="center"/>
        </w:trPr>
        <w:tc>
          <w:tcPr>
            <w:tcW w:w="255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1374E" w:rsidRPr="00D067E4" w:rsidRDefault="0071374E" w:rsidP="00306159">
            <w:pPr>
              <w:spacing w:after="0" w:line="240" w:lineRule="auto"/>
              <w:rPr>
                <w:rFonts w:ascii="Calibri" w:eastAsia="Times New Roman" w:hAnsi="Calibri" w:cs="Calibri"/>
                <w:b/>
                <w:bCs/>
                <w:lang w:eastAsia="en-GB"/>
              </w:rPr>
            </w:pPr>
            <w:r w:rsidRPr="00D067E4">
              <w:rPr>
                <w:rFonts w:ascii="Calibri" w:eastAsia="Times New Roman" w:hAnsi="Calibri" w:cs="Calibri"/>
                <w:b/>
                <w:bCs/>
                <w:lang w:eastAsia="en-GB"/>
              </w:rPr>
              <w:t>Additional Clinical Services</w:t>
            </w:r>
          </w:p>
        </w:tc>
        <w:tc>
          <w:tcPr>
            <w:tcW w:w="94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£12.15</w:t>
            </w:r>
          </w:p>
        </w:tc>
        <w:tc>
          <w:tcPr>
            <w:tcW w:w="89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1,493</w:t>
            </w:r>
          </w:p>
        </w:tc>
        <w:tc>
          <w:tcPr>
            <w:tcW w:w="829"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245</w:t>
            </w:r>
          </w:p>
        </w:tc>
        <w:tc>
          <w:tcPr>
            <w:tcW w:w="937"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£12.05</w:t>
            </w:r>
          </w:p>
        </w:tc>
        <w:tc>
          <w:tcPr>
            <w:tcW w:w="873" w:type="dxa"/>
            <w:tcBorders>
              <w:top w:val="single" w:sz="4" w:space="0" w:color="auto"/>
              <w:left w:val="nil"/>
              <w:bottom w:val="single" w:sz="4" w:space="0" w:color="auto"/>
              <w:right w:val="single" w:sz="4" w:space="0" w:color="auto"/>
            </w:tcBorders>
            <w:shd w:val="clear" w:color="000000" w:fill="auto"/>
            <w:vAlign w:val="center"/>
            <w:hideMark/>
          </w:tcPr>
          <w:p w:rsidR="0071374E" w:rsidRPr="00D067E4" w:rsidRDefault="0071374E" w:rsidP="00306159">
            <w:pPr>
              <w:spacing w:after="0" w:line="240" w:lineRule="auto"/>
              <w:jc w:val="center"/>
              <w:rPr>
                <w:rFonts w:ascii="Calibri" w:eastAsia="Times New Roman" w:hAnsi="Calibri" w:cs="Calibri"/>
                <w:bCs/>
                <w:highlight w:val="lightGray"/>
                <w:lang w:eastAsia="en-GB"/>
              </w:rPr>
            </w:pPr>
            <w:r w:rsidRPr="00D067E4">
              <w:rPr>
                <w:rFonts w:ascii="Calibri" w:eastAsia="Times New Roman" w:hAnsi="Calibri" w:cs="Calibri"/>
                <w:bCs/>
                <w:highlight w:val="lightGray"/>
                <w:lang w:eastAsia="en-GB"/>
              </w:rPr>
              <w:t>£12.76</w:t>
            </w:r>
          </w:p>
        </w:tc>
        <w:tc>
          <w:tcPr>
            <w:tcW w:w="90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£0.71</w:t>
            </w:r>
          </w:p>
        </w:tc>
        <w:tc>
          <w:tcPr>
            <w:tcW w:w="875"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highlight w:val="lightGray"/>
                <w:lang w:eastAsia="en-GB"/>
              </w:rPr>
              <w:t>5.58%</w:t>
            </w:r>
          </w:p>
        </w:tc>
        <w:tc>
          <w:tcPr>
            <w:tcW w:w="925" w:type="dxa"/>
            <w:tcBorders>
              <w:top w:val="single" w:sz="4" w:space="0" w:color="auto"/>
              <w:left w:val="nil"/>
              <w:bottom w:val="single" w:sz="4" w:space="0" w:color="auto"/>
              <w:right w:val="single" w:sz="4" w:space="0" w:color="auto"/>
            </w:tcBorders>
            <w:shd w:val="clear" w:color="000000" w:fill="BDD7EE"/>
            <w:vAlign w:val="center"/>
          </w:tcPr>
          <w:p w:rsidR="0071374E" w:rsidRPr="00306159" w:rsidRDefault="0071374E" w:rsidP="00306159">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3.25%</w:t>
            </w:r>
          </w:p>
        </w:tc>
      </w:tr>
      <w:tr w:rsidR="0071374E" w:rsidRPr="00306159" w:rsidTr="0001106D">
        <w:trPr>
          <w:trHeight w:val="424"/>
          <w:jc w:val="center"/>
        </w:trPr>
        <w:tc>
          <w:tcPr>
            <w:tcW w:w="255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1374E" w:rsidRPr="00D067E4" w:rsidRDefault="0071374E" w:rsidP="00306159">
            <w:pPr>
              <w:spacing w:after="0" w:line="240" w:lineRule="auto"/>
              <w:rPr>
                <w:rFonts w:ascii="Calibri" w:eastAsia="Times New Roman" w:hAnsi="Calibri" w:cs="Calibri"/>
                <w:b/>
                <w:bCs/>
                <w:lang w:eastAsia="en-GB"/>
              </w:rPr>
            </w:pPr>
            <w:r w:rsidRPr="00D067E4">
              <w:rPr>
                <w:rFonts w:ascii="Calibri" w:eastAsia="Times New Roman" w:hAnsi="Calibri" w:cs="Calibri"/>
                <w:b/>
                <w:bCs/>
                <w:lang w:eastAsia="en-GB"/>
              </w:rPr>
              <w:t>Administrative and Clerical</w:t>
            </w:r>
          </w:p>
        </w:tc>
        <w:tc>
          <w:tcPr>
            <w:tcW w:w="94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£15.36</w:t>
            </w:r>
          </w:p>
        </w:tc>
        <w:tc>
          <w:tcPr>
            <w:tcW w:w="89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1,381</w:t>
            </w:r>
          </w:p>
        </w:tc>
        <w:tc>
          <w:tcPr>
            <w:tcW w:w="829"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319</w:t>
            </w:r>
          </w:p>
        </w:tc>
        <w:tc>
          <w:tcPr>
            <w:tcW w:w="937"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£14.50</w:t>
            </w:r>
          </w:p>
        </w:tc>
        <w:tc>
          <w:tcPr>
            <w:tcW w:w="873" w:type="dxa"/>
            <w:tcBorders>
              <w:top w:val="single" w:sz="4" w:space="0" w:color="auto"/>
              <w:left w:val="nil"/>
              <w:bottom w:val="single" w:sz="4" w:space="0" w:color="auto"/>
              <w:right w:val="single" w:sz="4" w:space="0" w:color="auto"/>
            </w:tcBorders>
            <w:shd w:val="clear" w:color="000000" w:fill="auto"/>
            <w:vAlign w:val="center"/>
            <w:hideMark/>
          </w:tcPr>
          <w:p w:rsidR="0071374E" w:rsidRPr="00D067E4" w:rsidRDefault="0071374E" w:rsidP="00306159">
            <w:pPr>
              <w:spacing w:after="0" w:line="240" w:lineRule="auto"/>
              <w:jc w:val="center"/>
              <w:rPr>
                <w:rFonts w:ascii="Calibri" w:eastAsia="Times New Roman" w:hAnsi="Calibri" w:cs="Calibri"/>
                <w:bCs/>
                <w:highlight w:val="lightGray"/>
                <w:lang w:eastAsia="en-GB"/>
              </w:rPr>
            </w:pPr>
            <w:r w:rsidRPr="00D067E4">
              <w:rPr>
                <w:rFonts w:ascii="Calibri" w:eastAsia="Times New Roman" w:hAnsi="Calibri" w:cs="Calibri"/>
                <w:bCs/>
                <w:highlight w:val="lightGray"/>
                <w:lang w:eastAsia="en-GB"/>
              </w:rPr>
              <w:t>£19.06</w:t>
            </w:r>
          </w:p>
        </w:tc>
        <w:tc>
          <w:tcPr>
            <w:tcW w:w="90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£4.56</w:t>
            </w:r>
          </w:p>
        </w:tc>
        <w:tc>
          <w:tcPr>
            <w:tcW w:w="875"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highlight w:val="lightGray"/>
                <w:lang w:eastAsia="en-GB"/>
              </w:rPr>
              <w:t>23.91%</w:t>
            </w:r>
          </w:p>
        </w:tc>
        <w:tc>
          <w:tcPr>
            <w:tcW w:w="925" w:type="dxa"/>
            <w:tcBorders>
              <w:top w:val="single" w:sz="4" w:space="0" w:color="auto"/>
              <w:left w:val="nil"/>
              <w:bottom w:val="single" w:sz="4" w:space="0" w:color="auto"/>
              <w:right w:val="single" w:sz="4" w:space="0" w:color="auto"/>
            </w:tcBorders>
            <w:shd w:val="clear" w:color="000000" w:fill="BDD7EE"/>
            <w:vAlign w:val="center"/>
          </w:tcPr>
          <w:p w:rsidR="0071374E" w:rsidRPr="00306159" w:rsidRDefault="0071374E" w:rsidP="00306159">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29.71%</w:t>
            </w:r>
          </w:p>
        </w:tc>
      </w:tr>
      <w:tr w:rsidR="0071374E" w:rsidRPr="00306159" w:rsidTr="0001106D">
        <w:trPr>
          <w:trHeight w:val="275"/>
          <w:jc w:val="center"/>
        </w:trPr>
        <w:tc>
          <w:tcPr>
            <w:tcW w:w="255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1374E" w:rsidRPr="00D067E4" w:rsidRDefault="0071374E" w:rsidP="00306159">
            <w:pPr>
              <w:spacing w:after="0" w:line="240" w:lineRule="auto"/>
              <w:rPr>
                <w:rFonts w:ascii="Calibri" w:eastAsia="Times New Roman" w:hAnsi="Calibri" w:cs="Calibri"/>
                <w:b/>
                <w:bCs/>
                <w:lang w:eastAsia="en-GB"/>
              </w:rPr>
            </w:pPr>
            <w:r w:rsidRPr="00D067E4">
              <w:rPr>
                <w:rFonts w:ascii="Calibri" w:eastAsia="Times New Roman" w:hAnsi="Calibri" w:cs="Calibri"/>
                <w:b/>
                <w:bCs/>
                <w:lang w:eastAsia="en-GB"/>
              </w:rPr>
              <w:t>Allied Health Professionals</w:t>
            </w:r>
          </w:p>
        </w:tc>
        <w:tc>
          <w:tcPr>
            <w:tcW w:w="94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£20.35</w:t>
            </w:r>
          </w:p>
        </w:tc>
        <w:tc>
          <w:tcPr>
            <w:tcW w:w="89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327</w:t>
            </w:r>
          </w:p>
        </w:tc>
        <w:tc>
          <w:tcPr>
            <w:tcW w:w="829"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84</w:t>
            </w:r>
          </w:p>
        </w:tc>
        <w:tc>
          <w:tcPr>
            <w:tcW w:w="937"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D067E4">
              <w:rPr>
                <w:rFonts w:ascii="Calibri" w:eastAsia="Times New Roman" w:hAnsi="Calibri" w:cs="Calibri"/>
                <w:bCs/>
                <w:highlight w:val="lightGray"/>
                <w:lang w:eastAsia="en-GB"/>
              </w:rPr>
              <w:t>£20.50</w:t>
            </w:r>
          </w:p>
        </w:tc>
        <w:tc>
          <w:tcPr>
            <w:tcW w:w="873"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£19.73</w:t>
            </w:r>
          </w:p>
        </w:tc>
        <w:tc>
          <w:tcPr>
            <w:tcW w:w="90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-£0.77</w:t>
            </w:r>
          </w:p>
        </w:tc>
        <w:tc>
          <w:tcPr>
            <w:tcW w:w="875"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-3.92%</w:t>
            </w:r>
          </w:p>
        </w:tc>
        <w:tc>
          <w:tcPr>
            <w:tcW w:w="925" w:type="dxa"/>
            <w:tcBorders>
              <w:top w:val="single" w:sz="4" w:space="0" w:color="auto"/>
              <w:left w:val="nil"/>
              <w:bottom w:val="single" w:sz="4" w:space="0" w:color="auto"/>
              <w:right w:val="single" w:sz="4" w:space="0" w:color="auto"/>
            </w:tcBorders>
            <w:shd w:val="clear" w:color="000000" w:fill="BDD7EE"/>
            <w:vAlign w:val="center"/>
          </w:tcPr>
          <w:p w:rsidR="0071374E" w:rsidRPr="00306159" w:rsidRDefault="0071374E" w:rsidP="00306159">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-4.36%</w:t>
            </w:r>
          </w:p>
        </w:tc>
      </w:tr>
      <w:tr w:rsidR="0071374E" w:rsidRPr="00306159" w:rsidTr="0001106D">
        <w:trPr>
          <w:trHeight w:val="267"/>
          <w:jc w:val="center"/>
        </w:trPr>
        <w:tc>
          <w:tcPr>
            <w:tcW w:w="255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1374E" w:rsidRPr="00D067E4" w:rsidRDefault="0071374E" w:rsidP="00306159">
            <w:pPr>
              <w:spacing w:after="0" w:line="240" w:lineRule="auto"/>
              <w:rPr>
                <w:rFonts w:ascii="Calibri" w:eastAsia="Times New Roman" w:hAnsi="Calibri" w:cs="Calibri"/>
                <w:b/>
                <w:bCs/>
                <w:lang w:eastAsia="en-GB"/>
              </w:rPr>
            </w:pPr>
            <w:r w:rsidRPr="00D067E4">
              <w:rPr>
                <w:rFonts w:ascii="Calibri" w:eastAsia="Times New Roman" w:hAnsi="Calibri" w:cs="Calibri"/>
                <w:b/>
                <w:bCs/>
                <w:lang w:eastAsia="en-GB"/>
              </w:rPr>
              <w:t>Estates and Ancillary</w:t>
            </w:r>
          </w:p>
        </w:tc>
        <w:tc>
          <w:tcPr>
            <w:tcW w:w="94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£11.82</w:t>
            </w:r>
          </w:p>
        </w:tc>
        <w:tc>
          <w:tcPr>
            <w:tcW w:w="89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204</w:t>
            </w:r>
          </w:p>
        </w:tc>
        <w:tc>
          <w:tcPr>
            <w:tcW w:w="829"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215</w:t>
            </w:r>
          </w:p>
        </w:tc>
        <w:tc>
          <w:tcPr>
            <w:tcW w:w="937"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£11.40</w:t>
            </w:r>
          </w:p>
        </w:tc>
        <w:tc>
          <w:tcPr>
            <w:tcW w:w="873" w:type="dxa"/>
            <w:tcBorders>
              <w:top w:val="single" w:sz="4" w:space="0" w:color="auto"/>
              <w:left w:val="nil"/>
              <w:bottom w:val="single" w:sz="4" w:space="0" w:color="auto"/>
              <w:right w:val="single" w:sz="4" w:space="0" w:color="auto"/>
            </w:tcBorders>
            <w:shd w:val="clear" w:color="000000" w:fill="auto"/>
            <w:vAlign w:val="center"/>
            <w:hideMark/>
          </w:tcPr>
          <w:p w:rsidR="0071374E" w:rsidRPr="00D067E4" w:rsidRDefault="0071374E" w:rsidP="00306159">
            <w:pPr>
              <w:spacing w:after="0" w:line="240" w:lineRule="auto"/>
              <w:jc w:val="center"/>
              <w:rPr>
                <w:rFonts w:ascii="Calibri" w:eastAsia="Times New Roman" w:hAnsi="Calibri" w:cs="Calibri"/>
                <w:bCs/>
                <w:highlight w:val="lightGray"/>
                <w:lang w:eastAsia="en-GB"/>
              </w:rPr>
            </w:pPr>
            <w:r w:rsidRPr="00D067E4">
              <w:rPr>
                <w:rFonts w:ascii="Calibri" w:eastAsia="Times New Roman" w:hAnsi="Calibri" w:cs="Calibri"/>
                <w:bCs/>
                <w:highlight w:val="lightGray"/>
                <w:lang w:eastAsia="en-GB"/>
              </w:rPr>
              <w:t>£12.21</w:t>
            </w:r>
          </w:p>
        </w:tc>
        <w:tc>
          <w:tcPr>
            <w:tcW w:w="90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£0.80</w:t>
            </w:r>
          </w:p>
        </w:tc>
        <w:tc>
          <w:tcPr>
            <w:tcW w:w="875"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highlight w:val="lightGray"/>
                <w:lang w:eastAsia="en-GB"/>
              </w:rPr>
              <w:t>6.58%</w:t>
            </w:r>
          </w:p>
        </w:tc>
        <w:tc>
          <w:tcPr>
            <w:tcW w:w="925" w:type="dxa"/>
            <w:tcBorders>
              <w:top w:val="single" w:sz="4" w:space="0" w:color="auto"/>
              <w:left w:val="nil"/>
              <w:bottom w:val="single" w:sz="4" w:space="0" w:color="auto"/>
              <w:right w:val="single" w:sz="4" w:space="0" w:color="auto"/>
            </w:tcBorders>
            <w:shd w:val="clear" w:color="000000" w:fill="BDD7EE"/>
            <w:vAlign w:val="center"/>
          </w:tcPr>
          <w:p w:rsidR="0071374E" w:rsidRPr="00306159" w:rsidRDefault="0071374E" w:rsidP="00306159">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10.64%</w:t>
            </w:r>
          </w:p>
        </w:tc>
      </w:tr>
      <w:tr w:rsidR="0071374E" w:rsidRPr="00306159" w:rsidTr="0001106D">
        <w:trPr>
          <w:trHeight w:val="414"/>
          <w:jc w:val="center"/>
        </w:trPr>
        <w:tc>
          <w:tcPr>
            <w:tcW w:w="255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1374E" w:rsidRPr="00D067E4" w:rsidRDefault="0071374E" w:rsidP="00306159">
            <w:pPr>
              <w:spacing w:after="0" w:line="240" w:lineRule="auto"/>
              <w:rPr>
                <w:rFonts w:ascii="Calibri" w:eastAsia="Times New Roman" w:hAnsi="Calibri" w:cs="Calibri"/>
                <w:b/>
                <w:bCs/>
                <w:lang w:eastAsia="en-GB"/>
              </w:rPr>
            </w:pPr>
            <w:r w:rsidRPr="00D067E4">
              <w:rPr>
                <w:rFonts w:ascii="Calibri" w:eastAsia="Times New Roman" w:hAnsi="Calibri" w:cs="Calibri"/>
                <w:b/>
                <w:bCs/>
                <w:lang w:eastAsia="en-GB"/>
              </w:rPr>
              <w:t>Healthcare Scientists</w:t>
            </w:r>
          </w:p>
        </w:tc>
        <w:tc>
          <w:tcPr>
            <w:tcW w:w="94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£21.53</w:t>
            </w:r>
          </w:p>
        </w:tc>
        <w:tc>
          <w:tcPr>
            <w:tcW w:w="89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123</w:t>
            </w:r>
          </w:p>
        </w:tc>
        <w:tc>
          <w:tcPr>
            <w:tcW w:w="829"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67</w:t>
            </w:r>
          </w:p>
        </w:tc>
        <w:tc>
          <w:tcPr>
            <w:tcW w:w="937"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£21.25</w:t>
            </w:r>
          </w:p>
        </w:tc>
        <w:tc>
          <w:tcPr>
            <w:tcW w:w="873" w:type="dxa"/>
            <w:tcBorders>
              <w:top w:val="single" w:sz="4" w:space="0" w:color="auto"/>
              <w:left w:val="nil"/>
              <w:bottom w:val="single" w:sz="4" w:space="0" w:color="auto"/>
              <w:right w:val="single" w:sz="4" w:space="0" w:color="auto"/>
            </w:tcBorders>
            <w:shd w:val="clear" w:color="000000" w:fill="auto"/>
            <w:vAlign w:val="center"/>
            <w:hideMark/>
          </w:tcPr>
          <w:p w:rsidR="0071374E" w:rsidRPr="00D067E4" w:rsidRDefault="0071374E" w:rsidP="00306159">
            <w:pPr>
              <w:spacing w:after="0" w:line="240" w:lineRule="auto"/>
              <w:jc w:val="center"/>
              <w:rPr>
                <w:rFonts w:ascii="Calibri" w:eastAsia="Times New Roman" w:hAnsi="Calibri" w:cs="Calibri"/>
                <w:bCs/>
                <w:highlight w:val="lightGray"/>
                <w:lang w:eastAsia="en-GB"/>
              </w:rPr>
            </w:pPr>
            <w:r w:rsidRPr="00D067E4">
              <w:rPr>
                <w:rFonts w:ascii="Calibri" w:eastAsia="Times New Roman" w:hAnsi="Calibri" w:cs="Calibri"/>
                <w:bCs/>
                <w:highlight w:val="lightGray"/>
                <w:lang w:eastAsia="en-GB"/>
              </w:rPr>
              <w:t>£22.04</w:t>
            </w:r>
          </w:p>
        </w:tc>
        <w:tc>
          <w:tcPr>
            <w:tcW w:w="90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£0.79</w:t>
            </w:r>
          </w:p>
        </w:tc>
        <w:tc>
          <w:tcPr>
            <w:tcW w:w="875"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3.59%</w:t>
            </w:r>
          </w:p>
        </w:tc>
        <w:tc>
          <w:tcPr>
            <w:tcW w:w="925" w:type="dxa"/>
            <w:tcBorders>
              <w:top w:val="single" w:sz="4" w:space="0" w:color="auto"/>
              <w:left w:val="nil"/>
              <w:bottom w:val="single" w:sz="4" w:space="0" w:color="auto"/>
              <w:right w:val="single" w:sz="4" w:space="0" w:color="auto"/>
            </w:tcBorders>
            <w:shd w:val="clear" w:color="000000" w:fill="BDD7EE"/>
            <w:vAlign w:val="center"/>
          </w:tcPr>
          <w:p w:rsidR="0071374E" w:rsidRPr="00306159" w:rsidRDefault="0071374E" w:rsidP="00306159">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5.07%</w:t>
            </w:r>
          </w:p>
        </w:tc>
      </w:tr>
      <w:tr w:rsidR="0071374E" w:rsidRPr="00306159" w:rsidTr="0001106D">
        <w:trPr>
          <w:trHeight w:val="279"/>
          <w:jc w:val="center"/>
        </w:trPr>
        <w:tc>
          <w:tcPr>
            <w:tcW w:w="255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1374E" w:rsidRPr="00D067E4" w:rsidRDefault="0071374E" w:rsidP="00306159">
            <w:pPr>
              <w:spacing w:after="0" w:line="240" w:lineRule="auto"/>
              <w:rPr>
                <w:rFonts w:ascii="Calibri" w:eastAsia="Times New Roman" w:hAnsi="Calibri" w:cs="Calibri"/>
                <w:b/>
                <w:bCs/>
                <w:lang w:eastAsia="en-GB"/>
              </w:rPr>
            </w:pPr>
            <w:r w:rsidRPr="00D067E4">
              <w:rPr>
                <w:rFonts w:ascii="Calibri" w:eastAsia="Times New Roman" w:hAnsi="Calibri" w:cs="Calibri"/>
                <w:b/>
                <w:bCs/>
                <w:lang w:eastAsia="en-GB"/>
              </w:rPr>
              <w:t>Medical and Dental</w:t>
            </w:r>
          </w:p>
        </w:tc>
        <w:tc>
          <w:tcPr>
            <w:tcW w:w="94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£37.18</w:t>
            </w:r>
          </w:p>
        </w:tc>
        <w:tc>
          <w:tcPr>
            <w:tcW w:w="89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463</w:t>
            </w:r>
          </w:p>
        </w:tc>
        <w:tc>
          <w:tcPr>
            <w:tcW w:w="829"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612</w:t>
            </w:r>
          </w:p>
        </w:tc>
        <w:tc>
          <w:tcPr>
            <w:tcW w:w="937"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£34.97</w:t>
            </w:r>
          </w:p>
        </w:tc>
        <w:tc>
          <w:tcPr>
            <w:tcW w:w="873" w:type="dxa"/>
            <w:tcBorders>
              <w:top w:val="single" w:sz="4" w:space="0" w:color="auto"/>
              <w:left w:val="nil"/>
              <w:bottom w:val="single" w:sz="4" w:space="0" w:color="auto"/>
              <w:right w:val="single" w:sz="4" w:space="0" w:color="auto"/>
            </w:tcBorders>
            <w:shd w:val="clear" w:color="000000" w:fill="auto"/>
            <w:vAlign w:val="center"/>
            <w:hideMark/>
          </w:tcPr>
          <w:p w:rsidR="0071374E" w:rsidRPr="00D067E4" w:rsidRDefault="0071374E" w:rsidP="00306159">
            <w:pPr>
              <w:spacing w:after="0" w:line="240" w:lineRule="auto"/>
              <w:jc w:val="center"/>
              <w:rPr>
                <w:rFonts w:ascii="Calibri" w:eastAsia="Times New Roman" w:hAnsi="Calibri" w:cs="Calibri"/>
                <w:bCs/>
                <w:highlight w:val="lightGray"/>
                <w:lang w:eastAsia="en-GB"/>
              </w:rPr>
            </w:pPr>
            <w:r w:rsidRPr="00D067E4">
              <w:rPr>
                <w:rFonts w:ascii="Calibri" w:eastAsia="Times New Roman" w:hAnsi="Calibri" w:cs="Calibri"/>
                <w:bCs/>
                <w:highlight w:val="lightGray"/>
                <w:lang w:eastAsia="en-GB"/>
              </w:rPr>
              <w:t>£38.86</w:t>
            </w:r>
          </w:p>
        </w:tc>
        <w:tc>
          <w:tcPr>
            <w:tcW w:w="90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£3.89</w:t>
            </w:r>
          </w:p>
        </w:tc>
        <w:tc>
          <w:tcPr>
            <w:tcW w:w="875"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highlight w:val="lightGray"/>
                <w:lang w:eastAsia="en-GB"/>
              </w:rPr>
              <w:t>10.01%</w:t>
            </w:r>
          </w:p>
        </w:tc>
        <w:tc>
          <w:tcPr>
            <w:tcW w:w="925" w:type="dxa"/>
            <w:tcBorders>
              <w:top w:val="single" w:sz="4" w:space="0" w:color="auto"/>
              <w:left w:val="nil"/>
              <w:bottom w:val="single" w:sz="4" w:space="0" w:color="auto"/>
              <w:right w:val="single" w:sz="4" w:space="0" w:color="auto"/>
            </w:tcBorders>
            <w:shd w:val="clear" w:color="000000" w:fill="BDD7EE"/>
            <w:vAlign w:val="center"/>
          </w:tcPr>
          <w:p w:rsidR="0071374E" w:rsidRPr="00306159" w:rsidRDefault="0071374E" w:rsidP="00306159">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11.73%</w:t>
            </w:r>
          </w:p>
        </w:tc>
      </w:tr>
      <w:tr w:rsidR="0071374E" w:rsidRPr="00306159" w:rsidTr="0001106D">
        <w:trPr>
          <w:trHeight w:val="397"/>
          <w:jc w:val="center"/>
        </w:trPr>
        <w:tc>
          <w:tcPr>
            <w:tcW w:w="255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1374E" w:rsidRPr="00D067E4" w:rsidRDefault="0071374E" w:rsidP="0071374E">
            <w:pPr>
              <w:spacing w:after="0" w:line="240" w:lineRule="auto"/>
              <w:rPr>
                <w:rFonts w:ascii="Calibri" w:eastAsia="Times New Roman" w:hAnsi="Calibri" w:cs="Calibri"/>
                <w:b/>
                <w:bCs/>
                <w:lang w:eastAsia="en-GB"/>
              </w:rPr>
            </w:pPr>
            <w:r w:rsidRPr="00D067E4">
              <w:rPr>
                <w:rFonts w:ascii="Calibri" w:eastAsia="Times New Roman" w:hAnsi="Calibri" w:cs="Calibri"/>
                <w:b/>
                <w:bCs/>
                <w:lang w:eastAsia="en-GB"/>
              </w:rPr>
              <w:t xml:space="preserve">Nursing and Midwifery </w:t>
            </w:r>
          </w:p>
        </w:tc>
        <w:tc>
          <w:tcPr>
            <w:tcW w:w="94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£19.64</w:t>
            </w:r>
          </w:p>
        </w:tc>
        <w:tc>
          <w:tcPr>
            <w:tcW w:w="89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2,390</w:t>
            </w:r>
          </w:p>
        </w:tc>
        <w:tc>
          <w:tcPr>
            <w:tcW w:w="829"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193</w:t>
            </w:r>
          </w:p>
        </w:tc>
        <w:tc>
          <w:tcPr>
            <w:tcW w:w="937" w:type="dxa"/>
            <w:tcBorders>
              <w:top w:val="single" w:sz="4" w:space="0" w:color="auto"/>
              <w:left w:val="nil"/>
              <w:bottom w:val="single" w:sz="4" w:space="0" w:color="auto"/>
              <w:right w:val="single" w:sz="4" w:space="0" w:color="auto"/>
            </w:tcBorders>
            <w:shd w:val="clear" w:color="000000" w:fill="auto"/>
            <w:vAlign w:val="center"/>
            <w:hideMark/>
          </w:tcPr>
          <w:p w:rsidR="0071374E" w:rsidRPr="00D067E4" w:rsidRDefault="0071374E" w:rsidP="00306159">
            <w:pPr>
              <w:spacing w:after="0" w:line="240" w:lineRule="auto"/>
              <w:jc w:val="center"/>
              <w:rPr>
                <w:rFonts w:ascii="Calibri" w:eastAsia="Times New Roman" w:hAnsi="Calibri" w:cs="Calibri"/>
                <w:bCs/>
                <w:highlight w:val="lightGray"/>
                <w:lang w:eastAsia="en-GB"/>
              </w:rPr>
            </w:pPr>
            <w:r w:rsidRPr="00D067E4">
              <w:rPr>
                <w:rFonts w:ascii="Calibri" w:eastAsia="Times New Roman" w:hAnsi="Calibri" w:cs="Calibri"/>
                <w:bCs/>
                <w:highlight w:val="lightGray"/>
                <w:lang w:eastAsia="en-GB"/>
              </w:rPr>
              <w:t>£19.67</w:t>
            </w:r>
          </w:p>
        </w:tc>
        <w:tc>
          <w:tcPr>
            <w:tcW w:w="873"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£19.38</w:t>
            </w:r>
          </w:p>
        </w:tc>
        <w:tc>
          <w:tcPr>
            <w:tcW w:w="90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-£0.28</w:t>
            </w:r>
          </w:p>
        </w:tc>
        <w:tc>
          <w:tcPr>
            <w:tcW w:w="875"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-1.47%</w:t>
            </w:r>
          </w:p>
        </w:tc>
        <w:tc>
          <w:tcPr>
            <w:tcW w:w="925" w:type="dxa"/>
            <w:tcBorders>
              <w:top w:val="single" w:sz="4" w:space="0" w:color="auto"/>
              <w:left w:val="nil"/>
              <w:bottom w:val="single" w:sz="4" w:space="0" w:color="auto"/>
              <w:right w:val="single" w:sz="4" w:space="0" w:color="auto"/>
            </w:tcBorders>
            <w:shd w:val="clear" w:color="000000" w:fill="BDD7EE"/>
            <w:vAlign w:val="center"/>
          </w:tcPr>
          <w:p w:rsidR="0071374E" w:rsidRPr="00306159" w:rsidRDefault="0071374E" w:rsidP="00306159">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-2.60%</w:t>
            </w:r>
          </w:p>
        </w:tc>
      </w:tr>
      <w:tr w:rsidR="0071374E" w:rsidRPr="00306159" w:rsidTr="0001106D">
        <w:trPr>
          <w:trHeight w:val="274"/>
          <w:jc w:val="center"/>
        </w:trPr>
        <w:tc>
          <w:tcPr>
            <w:tcW w:w="255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1374E" w:rsidRPr="00D067E4" w:rsidRDefault="0071374E" w:rsidP="00306159">
            <w:pPr>
              <w:spacing w:after="0" w:line="240" w:lineRule="auto"/>
              <w:rPr>
                <w:rFonts w:ascii="Calibri" w:eastAsia="Times New Roman" w:hAnsi="Calibri" w:cs="Calibri"/>
                <w:b/>
                <w:bCs/>
                <w:lang w:eastAsia="en-GB"/>
              </w:rPr>
            </w:pPr>
            <w:r w:rsidRPr="00D067E4">
              <w:rPr>
                <w:rFonts w:ascii="Calibri" w:eastAsia="Times New Roman" w:hAnsi="Calibri" w:cs="Calibri"/>
                <w:b/>
                <w:bCs/>
                <w:lang w:eastAsia="en-GB"/>
              </w:rPr>
              <w:t>Students</w:t>
            </w:r>
          </w:p>
        </w:tc>
        <w:tc>
          <w:tcPr>
            <w:tcW w:w="94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£15.77</w:t>
            </w:r>
          </w:p>
        </w:tc>
        <w:tc>
          <w:tcPr>
            <w:tcW w:w="89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7</w:t>
            </w:r>
          </w:p>
        </w:tc>
        <w:tc>
          <w:tcPr>
            <w:tcW w:w="829"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w:t>
            </w:r>
          </w:p>
        </w:tc>
        <w:tc>
          <w:tcPr>
            <w:tcW w:w="937" w:type="dxa"/>
            <w:tcBorders>
              <w:top w:val="single" w:sz="4" w:space="0" w:color="auto"/>
              <w:left w:val="nil"/>
              <w:bottom w:val="single" w:sz="4" w:space="0" w:color="auto"/>
              <w:right w:val="single" w:sz="4" w:space="0" w:color="auto"/>
            </w:tcBorders>
            <w:shd w:val="clear" w:color="000000" w:fill="auto"/>
            <w:vAlign w:val="center"/>
            <w:hideMark/>
          </w:tcPr>
          <w:p w:rsidR="0071374E" w:rsidRPr="00D067E4" w:rsidRDefault="0071374E" w:rsidP="00306159">
            <w:pPr>
              <w:spacing w:after="0" w:line="240" w:lineRule="auto"/>
              <w:jc w:val="center"/>
              <w:rPr>
                <w:rFonts w:ascii="Calibri" w:eastAsia="Times New Roman" w:hAnsi="Calibri" w:cs="Calibri"/>
                <w:bCs/>
                <w:highlight w:val="lightGray"/>
                <w:lang w:eastAsia="en-GB"/>
              </w:rPr>
            </w:pPr>
            <w:r w:rsidRPr="00D067E4">
              <w:rPr>
                <w:rFonts w:ascii="Calibri" w:eastAsia="Times New Roman" w:hAnsi="Calibri" w:cs="Calibri"/>
                <w:bCs/>
                <w:highlight w:val="lightGray"/>
                <w:lang w:eastAsia="en-GB"/>
              </w:rPr>
              <w:t>£16.34</w:t>
            </w:r>
          </w:p>
        </w:tc>
        <w:tc>
          <w:tcPr>
            <w:tcW w:w="873"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£11.75</w:t>
            </w:r>
          </w:p>
        </w:tc>
        <w:tc>
          <w:tcPr>
            <w:tcW w:w="90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-£4.59</w:t>
            </w:r>
          </w:p>
        </w:tc>
        <w:tc>
          <w:tcPr>
            <w:tcW w:w="875"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0.00%</w:t>
            </w:r>
          </w:p>
        </w:tc>
        <w:tc>
          <w:tcPr>
            <w:tcW w:w="925" w:type="dxa"/>
            <w:tcBorders>
              <w:top w:val="single" w:sz="4" w:space="0" w:color="auto"/>
              <w:left w:val="nil"/>
              <w:bottom w:val="single" w:sz="4" w:space="0" w:color="auto"/>
              <w:right w:val="single" w:sz="4" w:space="0" w:color="auto"/>
            </w:tcBorders>
            <w:shd w:val="clear" w:color="000000" w:fill="BDD7EE"/>
            <w:vAlign w:val="center"/>
          </w:tcPr>
          <w:p w:rsidR="0071374E" w:rsidRPr="00306159" w:rsidRDefault="0071374E" w:rsidP="00306159">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0.00%</w:t>
            </w:r>
          </w:p>
        </w:tc>
      </w:tr>
      <w:tr w:rsidR="0071374E" w:rsidRPr="00306159" w:rsidTr="0001106D">
        <w:trPr>
          <w:trHeight w:val="267"/>
          <w:jc w:val="center"/>
        </w:trPr>
        <w:tc>
          <w:tcPr>
            <w:tcW w:w="255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1374E" w:rsidRPr="00D067E4" w:rsidRDefault="0071374E" w:rsidP="00306159">
            <w:pPr>
              <w:spacing w:after="0" w:line="240" w:lineRule="auto"/>
              <w:rPr>
                <w:rFonts w:ascii="Calibri" w:eastAsia="Times New Roman" w:hAnsi="Calibri" w:cs="Calibri"/>
                <w:b/>
                <w:bCs/>
                <w:lang w:eastAsia="en-GB"/>
              </w:rPr>
            </w:pPr>
            <w:r w:rsidRPr="00D067E4">
              <w:rPr>
                <w:rFonts w:ascii="Calibri" w:eastAsia="Times New Roman" w:hAnsi="Calibri" w:cs="Calibri"/>
                <w:b/>
                <w:bCs/>
                <w:lang w:eastAsia="en-GB"/>
              </w:rPr>
              <w:t>Grand Total</w:t>
            </w:r>
          </w:p>
        </w:tc>
        <w:tc>
          <w:tcPr>
            <w:tcW w:w="94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£19.18</w:t>
            </w:r>
          </w:p>
        </w:tc>
        <w:tc>
          <w:tcPr>
            <w:tcW w:w="89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6,556</w:t>
            </w:r>
          </w:p>
        </w:tc>
        <w:tc>
          <w:tcPr>
            <w:tcW w:w="829"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1,819</w:t>
            </w:r>
          </w:p>
        </w:tc>
        <w:tc>
          <w:tcPr>
            <w:tcW w:w="937"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£17.74</w:t>
            </w:r>
          </w:p>
        </w:tc>
        <w:tc>
          <w:tcPr>
            <w:tcW w:w="873" w:type="dxa"/>
            <w:tcBorders>
              <w:top w:val="single" w:sz="4" w:space="0" w:color="auto"/>
              <w:left w:val="nil"/>
              <w:bottom w:val="single" w:sz="4" w:space="0" w:color="auto"/>
              <w:right w:val="single" w:sz="4" w:space="0" w:color="auto"/>
            </w:tcBorders>
            <w:shd w:val="clear" w:color="000000" w:fill="auto"/>
            <w:vAlign w:val="center"/>
            <w:hideMark/>
          </w:tcPr>
          <w:p w:rsidR="0071374E" w:rsidRPr="00D067E4" w:rsidRDefault="0071374E" w:rsidP="00306159">
            <w:pPr>
              <w:spacing w:after="0" w:line="240" w:lineRule="auto"/>
              <w:jc w:val="center"/>
              <w:rPr>
                <w:rFonts w:ascii="Calibri" w:eastAsia="Times New Roman" w:hAnsi="Calibri" w:cs="Calibri"/>
                <w:bCs/>
                <w:highlight w:val="lightGray"/>
                <w:lang w:eastAsia="en-GB"/>
              </w:rPr>
            </w:pPr>
            <w:r w:rsidRPr="00D067E4">
              <w:rPr>
                <w:rFonts w:ascii="Calibri" w:eastAsia="Times New Roman" w:hAnsi="Calibri" w:cs="Calibri"/>
                <w:bCs/>
                <w:highlight w:val="lightGray"/>
                <w:lang w:eastAsia="en-GB"/>
              </w:rPr>
              <w:t>£24.36</w:t>
            </w:r>
          </w:p>
        </w:tc>
        <w:tc>
          <w:tcPr>
            <w:tcW w:w="904"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lang w:eastAsia="en-GB"/>
              </w:rPr>
              <w:t>£6.62</w:t>
            </w:r>
          </w:p>
        </w:tc>
        <w:tc>
          <w:tcPr>
            <w:tcW w:w="875" w:type="dxa"/>
            <w:tcBorders>
              <w:top w:val="single" w:sz="4" w:space="0" w:color="auto"/>
              <w:left w:val="nil"/>
              <w:bottom w:val="single" w:sz="4" w:space="0" w:color="auto"/>
              <w:right w:val="single" w:sz="4" w:space="0" w:color="auto"/>
            </w:tcBorders>
            <w:shd w:val="clear" w:color="000000" w:fill="auto"/>
            <w:vAlign w:val="center"/>
            <w:hideMark/>
          </w:tcPr>
          <w:p w:rsidR="0071374E" w:rsidRPr="00306159" w:rsidRDefault="0071374E" w:rsidP="00306159">
            <w:pPr>
              <w:spacing w:after="0" w:line="240" w:lineRule="auto"/>
              <w:jc w:val="center"/>
              <w:rPr>
                <w:rFonts w:ascii="Calibri" w:eastAsia="Times New Roman" w:hAnsi="Calibri" w:cs="Calibri"/>
                <w:bCs/>
                <w:lang w:eastAsia="en-GB"/>
              </w:rPr>
            </w:pPr>
            <w:r w:rsidRPr="00306159">
              <w:rPr>
                <w:rFonts w:ascii="Calibri" w:eastAsia="Times New Roman" w:hAnsi="Calibri" w:cs="Calibri"/>
                <w:bCs/>
                <w:highlight w:val="lightGray"/>
                <w:lang w:eastAsia="en-GB"/>
              </w:rPr>
              <w:t>27.19%</w:t>
            </w:r>
          </w:p>
        </w:tc>
        <w:tc>
          <w:tcPr>
            <w:tcW w:w="925" w:type="dxa"/>
            <w:tcBorders>
              <w:top w:val="single" w:sz="4" w:space="0" w:color="auto"/>
              <w:left w:val="nil"/>
              <w:bottom w:val="single" w:sz="4" w:space="0" w:color="auto"/>
              <w:right w:val="single" w:sz="4" w:space="0" w:color="auto"/>
            </w:tcBorders>
            <w:shd w:val="clear" w:color="000000" w:fill="BDD7EE"/>
            <w:vAlign w:val="center"/>
          </w:tcPr>
          <w:p w:rsidR="0071374E" w:rsidRPr="00306159" w:rsidRDefault="0071374E" w:rsidP="00306159">
            <w:pPr>
              <w:spacing w:after="0" w:line="240" w:lineRule="auto"/>
              <w:jc w:val="center"/>
              <w:rPr>
                <w:rFonts w:ascii="Calibri" w:eastAsia="Times New Roman" w:hAnsi="Calibri" w:cs="Calibri"/>
                <w:bCs/>
                <w:lang w:eastAsia="en-GB"/>
              </w:rPr>
            </w:pPr>
          </w:p>
        </w:tc>
      </w:tr>
    </w:tbl>
    <w:p w:rsidR="00F479FD" w:rsidRPr="0001106D" w:rsidRDefault="00F479FD" w:rsidP="00F479FD">
      <w:pPr>
        <w:spacing w:before="240" w:line="240" w:lineRule="auto"/>
        <w:rPr>
          <w:rFonts w:ascii="Arial" w:eastAsia="Times New Roman" w:hAnsi="Arial" w:cs="Arial"/>
          <w:b/>
          <w:bCs/>
          <w:lang w:eastAsia="en-GB"/>
        </w:rPr>
      </w:pPr>
      <w:r w:rsidRPr="0001106D">
        <w:rPr>
          <w:rFonts w:ascii="Arial" w:eastAsia="Times New Roman" w:hAnsi="Arial" w:cs="Arial"/>
          <w:b/>
          <w:bCs/>
          <w:lang w:eastAsia="en-GB"/>
        </w:rPr>
        <w:t xml:space="preserve">A minus pay gap result is positive for females - </w:t>
      </w:r>
      <w:r w:rsidR="00E56178" w:rsidRPr="0001106D">
        <w:rPr>
          <w:rFonts w:ascii="Arial" w:eastAsia="Times New Roman" w:hAnsi="Arial" w:cs="Arial"/>
          <w:bCs/>
          <w:lang w:eastAsia="en-GB"/>
        </w:rPr>
        <w:t>But t</w:t>
      </w:r>
      <w:r w:rsidR="00AD713E" w:rsidRPr="0001106D">
        <w:rPr>
          <w:rFonts w:ascii="Arial" w:hAnsi="Arial" w:cs="Arial"/>
        </w:rPr>
        <w:t>here are only 2 gr</w:t>
      </w:r>
      <w:r w:rsidR="00E56178" w:rsidRPr="0001106D">
        <w:rPr>
          <w:rFonts w:ascii="Arial" w:hAnsi="Arial" w:cs="Arial"/>
        </w:rPr>
        <w:t>oups</w:t>
      </w:r>
      <w:r w:rsidR="00AD713E" w:rsidRPr="0001106D">
        <w:rPr>
          <w:rFonts w:ascii="Arial" w:hAnsi="Arial" w:cs="Arial"/>
        </w:rPr>
        <w:t xml:space="preserve"> where the pay gap % result is positive for females </w:t>
      </w:r>
      <w:r w:rsidR="0001106D">
        <w:rPr>
          <w:rFonts w:ascii="Arial" w:hAnsi="Arial" w:cs="Arial"/>
        </w:rPr>
        <w:t xml:space="preserve">with female ratio at </w:t>
      </w:r>
      <w:r w:rsidR="00AD713E" w:rsidRPr="0001106D">
        <w:rPr>
          <w:rFonts w:ascii="Arial" w:hAnsi="Arial" w:cs="Arial"/>
        </w:rPr>
        <w:t xml:space="preserve">which </w:t>
      </w:r>
      <w:r w:rsidRPr="0001106D">
        <w:rPr>
          <w:rFonts w:ascii="Arial" w:hAnsi="Arial" w:cs="Arial"/>
        </w:rPr>
        <w:t>are;</w:t>
      </w:r>
    </w:p>
    <w:p w:rsidR="00F479FD" w:rsidRPr="0001106D" w:rsidRDefault="00F479FD" w:rsidP="004135C2">
      <w:pPr>
        <w:pStyle w:val="ListParagraph"/>
        <w:numPr>
          <w:ilvl w:val="0"/>
          <w:numId w:val="1"/>
        </w:numPr>
        <w:rPr>
          <w:rFonts w:ascii="Arial" w:hAnsi="Arial" w:cs="Arial"/>
        </w:rPr>
      </w:pPr>
      <w:r w:rsidRPr="0001106D">
        <w:rPr>
          <w:rFonts w:ascii="Arial" w:hAnsi="Arial" w:cs="Arial"/>
        </w:rPr>
        <w:t>A</w:t>
      </w:r>
      <w:r w:rsidR="00AD713E" w:rsidRPr="0001106D">
        <w:rPr>
          <w:rFonts w:ascii="Arial" w:hAnsi="Arial" w:cs="Arial"/>
        </w:rPr>
        <w:t xml:space="preserve">llied health professionals </w:t>
      </w:r>
      <w:r w:rsidR="0080334B" w:rsidRPr="0001106D">
        <w:rPr>
          <w:rFonts w:ascii="Arial" w:hAnsi="Arial" w:cs="Arial"/>
        </w:rPr>
        <w:t>(4</w:t>
      </w:r>
      <w:r w:rsidR="0001106D">
        <w:rPr>
          <w:rFonts w:ascii="Arial" w:hAnsi="Arial" w:cs="Arial"/>
        </w:rPr>
        <w:t xml:space="preserve">11 </w:t>
      </w:r>
      <w:r w:rsidR="0080334B" w:rsidRPr="0001106D">
        <w:rPr>
          <w:rFonts w:ascii="Arial" w:hAnsi="Arial" w:cs="Arial"/>
        </w:rPr>
        <w:t xml:space="preserve">staff) </w:t>
      </w:r>
      <w:r w:rsidR="00AD713E" w:rsidRPr="0001106D">
        <w:rPr>
          <w:rFonts w:ascii="Arial" w:hAnsi="Arial" w:cs="Arial"/>
        </w:rPr>
        <w:t>at -</w:t>
      </w:r>
      <w:r w:rsidR="0001106D">
        <w:rPr>
          <w:rFonts w:ascii="Arial" w:hAnsi="Arial" w:cs="Arial"/>
        </w:rPr>
        <w:t>3.92</w:t>
      </w:r>
      <w:r w:rsidR="00AD713E" w:rsidRPr="0001106D">
        <w:rPr>
          <w:rFonts w:ascii="Arial" w:hAnsi="Arial" w:cs="Arial"/>
        </w:rPr>
        <w:t xml:space="preserve">% </w:t>
      </w:r>
      <w:r w:rsidR="0001106D">
        <w:rPr>
          <w:rFonts w:ascii="Arial" w:hAnsi="Arial" w:cs="Arial"/>
        </w:rPr>
        <w:t xml:space="preserve">(female ratio 79.5%) </w:t>
      </w:r>
      <w:r w:rsidR="00AD713E" w:rsidRPr="0001106D">
        <w:rPr>
          <w:rFonts w:ascii="Arial" w:hAnsi="Arial" w:cs="Arial"/>
        </w:rPr>
        <w:t>and</w:t>
      </w:r>
      <w:r w:rsidRPr="0001106D">
        <w:rPr>
          <w:rFonts w:ascii="Arial" w:hAnsi="Arial" w:cs="Arial"/>
        </w:rPr>
        <w:t>;</w:t>
      </w:r>
    </w:p>
    <w:p w:rsidR="00F479FD" w:rsidRPr="0001106D" w:rsidRDefault="00AD713E" w:rsidP="004135C2">
      <w:pPr>
        <w:pStyle w:val="ListParagraph"/>
        <w:numPr>
          <w:ilvl w:val="0"/>
          <w:numId w:val="1"/>
        </w:numPr>
        <w:rPr>
          <w:rFonts w:ascii="Arial" w:hAnsi="Arial" w:cs="Arial"/>
        </w:rPr>
      </w:pPr>
      <w:r w:rsidRPr="0001106D">
        <w:rPr>
          <w:rFonts w:ascii="Arial" w:hAnsi="Arial" w:cs="Arial"/>
        </w:rPr>
        <w:t xml:space="preserve">Nursing and midwifery </w:t>
      </w:r>
      <w:r w:rsidR="0080334B" w:rsidRPr="0001106D">
        <w:rPr>
          <w:rFonts w:ascii="Arial" w:hAnsi="Arial" w:cs="Arial"/>
        </w:rPr>
        <w:t>(2</w:t>
      </w:r>
      <w:r w:rsidR="0001106D">
        <w:rPr>
          <w:rFonts w:ascii="Arial" w:hAnsi="Arial" w:cs="Arial"/>
        </w:rPr>
        <w:t>583)</w:t>
      </w:r>
      <w:r w:rsidR="0080334B" w:rsidRPr="0001106D">
        <w:rPr>
          <w:rFonts w:ascii="Arial" w:hAnsi="Arial" w:cs="Arial"/>
        </w:rPr>
        <w:t xml:space="preserve"> </w:t>
      </w:r>
      <w:r w:rsidRPr="0001106D">
        <w:rPr>
          <w:rFonts w:ascii="Arial" w:hAnsi="Arial" w:cs="Arial"/>
        </w:rPr>
        <w:t>at -</w:t>
      </w:r>
      <w:r w:rsidR="0001106D">
        <w:rPr>
          <w:rFonts w:ascii="Arial" w:hAnsi="Arial" w:cs="Arial"/>
        </w:rPr>
        <w:t>1.47%</w:t>
      </w:r>
      <w:r w:rsidRPr="0001106D">
        <w:rPr>
          <w:rFonts w:ascii="Arial" w:hAnsi="Arial" w:cs="Arial"/>
        </w:rPr>
        <w:t xml:space="preserve"> </w:t>
      </w:r>
      <w:r w:rsidR="0001106D">
        <w:rPr>
          <w:rFonts w:ascii="Arial" w:hAnsi="Arial" w:cs="Arial"/>
        </w:rPr>
        <w:t>(female ratio has reduced 2.5% to 92.5% from 2021)</w:t>
      </w:r>
    </w:p>
    <w:p w:rsidR="0001106D" w:rsidRDefault="0001106D" w:rsidP="00F479FD">
      <w:pPr>
        <w:pStyle w:val="ListParagraph"/>
        <w:ind w:left="360"/>
        <w:rPr>
          <w:rFonts w:ascii="Arial" w:hAnsi="Arial" w:cs="Arial"/>
        </w:rPr>
      </w:pPr>
    </w:p>
    <w:p w:rsidR="0001106D" w:rsidRPr="0001106D" w:rsidRDefault="0001106D" w:rsidP="00F479FD">
      <w:pPr>
        <w:pStyle w:val="ListParagraph"/>
        <w:ind w:left="360"/>
        <w:rPr>
          <w:rFonts w:ascii="Arial" w:hAnsi="Arial" w:cs="Arial"/>
        </w:rPr>
      </w:pPr>
    </w:p>
    <w:p w:rsidR="0080334B" w:rsidRPr="00D9193A" w:rsidRDefault="00F479FD" w:rsidP="002E1839">
      <w:pPr>
        <w:rPr>
          <w:rFonts w:ascii="Arial" w:hAnsi="Arial" w:cs="Arial"/>
        </w:rPr>
      </w:pPr>
      <w:r w:rsidRPr="00D9193A">
        <w:rPr>
          <w:rFonts w:ascii="Arial" w:hAnsi="Arial" w:cs="Arial"/>
          <w:b/>
        </w:rPr>
        <w:t>Much higher % pay gaps in favour of male</w:t>
      </w:r>
      <w:r w:rsidRPr="00D9193A">
        <w:rPr>
          <w:rFonts w:ascii="Arial" w:hAnsi="Arial" w:cs="Arial"/>
        </w:rPr>
        <w:t xml:space="preserve"> - </w:t>
      </w:r>
      <w:r w:rsidR="00E1160C" w:rsidRPr="00D9193A">
        <w:rPr>
          <w:rFonts w:ascii="Arial" w:hAnsi="Arial" w:cs="Arial"/>
        </w:rPr>
        <w:t>However, the</w:t>
      </w:r>
      <w:r w:rsidR="0080334B" w:rsidRPr="00D9193A">
        <w:rPr>
          <w:rFonts w:ascii="Arial" w:hAnsi="Arial" w:cs="Arial"/>
        </w:rPr>
        <w:t xml:space="preserve">se 2 positive results for female compare much less favourably to the much higher </w:t>
      </w:r>
      <w:r w:rsidR="00E1160C" w:rsidRPr="00D9193A">
        <w:rPr>
          <w:rFonts w:ascii="Arial" w:hAnsi="Arial" w:cs="Arial"/>
        </w:rPr>
        <w:t>% pay gap</w:t>
      </w:r>
      <w:r w:rsidR="0080334B" w:rsidRPr="00D9193A">
        <w:rPr>
          <w:rFonts w:ascii="Arial" w:hAnsi="Arial" w:cs="Arial"/>
        </w:rPr>
        <w:t>s</w:t>
      </w:r>
      <w:r w:rsidR="00E1160C" w:rsidRPr="00D9193A">
        <w:rPr>
          <w:rFonts w:ascii="Arial" w:hAnsi="Arial" w:cs="Arial"/>
        </w:rPr>
        <w:t xml:space="preserve"> in favour of male in</w:t>
      </w:r>
      <w:r w:rsidR="0080334B" w:rsidRPr="00D9193A">
        <w:rPr>
          <w:rFonts w:ascii="Arial" w:hAnsi="Arial" w:cs="Arial"/>
        </w:rPr>
        <w:t>:</w:t>
      </w:r>
    </w:p>
    <w:p w:rsidR="0080334B" w:rsidRPr="00D9193A" w:rsidRDefault="00F479FD" w:rsidP="004135C2">
      <w:pPr>
        <w:pStyle w:val="ListParagraph"/>
        <w:numPr>
          <w:ilvl w:val="0"/>
          <w:numId w:val="1"/>
        </w:numPr>
        <w:rPr>
          <w:rFonts w:ascii="Arial" w:hAnsi="Arial" w:cs="Arial"/>
        </w:rPr>
      </w:pPr>
      <w:r w:rsidRPr="00D9193A">
        <w:rPr>
          <w:rFonts w:ascii="Arial" w:hAnsi="Arial" w:cs="Arial"/>
        </w:rPr>
        <w:t>A</w:t>
      </w:r>
      <w:r w:rsidR="00E1160C" w:rsidRPr="00D9193A">
        <w:rPr>
          <w:rFonts w:ascii="Arial" w:hAnsi="Arial" w:cs="Arial"/>
        </w:rPr>
        <w:t>dmin</w:t>
      </w:r>
      <w:r w:rsidR="00D9193A" w:rsidRPr="00D9193A">
        <w:rPr>
          <w:rFonts w:ascii="Arial" w:hAnsi="Arial" w:cs="Arial"/>
        </w:rPr>
        <w:t>/</w:t>
      </w:r>
      <w:r w:rsidR="00E1160C" w:rsidRPr="00D9193A">
        <w:rPr>
          <w:rFonts w:ascii="Arial" w:hAnsi="Arial" w:cs="Arial"/>
        </w:rPr>
        <w:t xml:space="preserve">clerical </w:t>
      </w:r>
      <w:r w:rsidR="0080334B" w:rsidRPr="00D9193A">
        <w:rPr>
          <w:rFonts w:ascii="Arial" w:hAnsi="Arial" w:cs="Arial"/>
        </w:rPr>
        <w:t>(1</w:t>
      </w:r>
      <w:r w:rsidR="00D9193A" w:rsidRPr="00D9193A">
        <w:rPr>
          <w:rFonts w:ascii="Arial" w:hAnsi="Arial" w:cs="Arial"/>
        </w:rPr>
        <w:t>700</w:t>
      </w:r>
      <w:r w:rsidR="0080334B" w:rsidRPr="00D9193A">
        <w:rPr>
          <w:rFonts w:ascii="Arial" w:hAnsi="Arial" w:cs="Arial"/>
        </w:rPr>
        <w:t xml:space="preserve"> Staff) </w:t>
      </w:r>
      <w:r w:rsidR="00D9193A" w:rsidRPr="00D9193A">
        <w:rPr>
          <w:rFonts w:ascii="Arial" w:hAnsi="Arial" w:cs="Arial"/>
        </w:rPr>
        <w:t xml:space="preserve">a </w:t>
      </w:r>
      <w:r w:rsidR="00E1160C" w:rsidRPr="00D9193A">
        <w:rPr>
          <w:rFonts w:ascii="Arial" w:hAnsi="Arial" w:cs="Arial"/>
        </w:rPr>
        <w:t xml:space="preserve">significant </w:t>
      </w:r>
      <w:r w:rsidR="00E1160C" w:rsidRPr="00D9193A">
        <w:rPr>
          <w:rFonts w:ascii="Arial" w:hAnsi="Arial" w:cs="Arial"/>
          <w:b/>
        </w:rPr>
        <w:t>2</w:t>
      </w:r>
      <w:r w:rsidR="00D9193A" w:rsidRPr="00D9193A">
        <w:rPr>
          <w:rFonts w:ascii="Arial" w:hAnsi="Arial" w:cs="Arial"/>
          <w:b/>
        </w:rPr>
        <w:t xml:space="preserve">3.91% </w:t>
      </w:r>
      <w:r w:rsidR="00D9193A" w:rsidRPr="00D9193A">
        <w:rPr>
          <w:rFonts w:ascii="Arial" w:hAnsi="Arial" w:cs="Arial"/>
        </w:rPr>
        <w:t>albeit a 6% reduction on YE 2021 at 2</w:t>
      </w:r>
      <w:r w:rsidR="00E1160C" w:rsidRPr="00D9193A">
        <w:rPr>
          <w:rFonts w:ascii="Arial" w:hAnsi="Arial" w:cs="Arial"/>
        </w:rPr>
        <w:t>9.71%</w:t>
      </w:r>
      <w:r w:rsidR="00E56178" w:rsidRPr="00D9193A">
        <w:rPr>
          <w:rFonts w:ascii="Arial" w:hAnsi="Arial" w:cs="Arial"/>
        </w:rPr>
        <w:t xml:space="preserve"> </w:t>
      </w:r>
    </w:p>
    <w:p w:rsidR="0080334B" w:rsidRPr="00D9193A" w:rsidRDefault="00F479FD" w:rsidP="004135C2">
      <w:pPr>
        <w:pStyle w:val="ListParagraph"/>
        <w:numPr>
          <w:ilvl w:val="0"/>
          <w:numId w:val="1"/>
        </w:numPr>
        <w:rPr>
          <w:rFonts w:ascii="Arial" w:hAnsi="Arial" w:cs="Arial"/>
        </w:rPr>
      </w:pPr>
      <w:r w:rsidRPr="00D9193A">
        <w:rPr>
          <w:rFonts w:ascii="Arial" w:hAnsi="Arial" w:cs="Arial"/>
        </w:rPr>
        <w:t>M</w:t>
      </w:r>
      <w:r w:rsidR="00E1160C" w:rsidRPr="00D9193A">
        <w:rPr>
          <w:rFonts w:ascii="Arial" w:hAnsi="Arial" w:cs="Arial"/>
        </w:rPr>
        <w:t xml:space="preserve">edical / dental </w:t>
      </w:r>
      <w:r w:rsidR="0080334B" w:rsidRPr="00D9193A">
        <w:rPr>
          <w:rFonts w:ascii="Arial" w:hAnsi="Arial" w:cs="Arial"/>
        </w:rPr>
        <w:t>(10</w:t>
      </w:r>
      <w:r w:rsidR="00D9193A" w:rsidRPr="00D9193A">
        <w:rPr>
          <w:rFonts w:ascii="Arial" w:hAnsi="Arial" w:cs="Arial"/>
        </w:rPr>
        <w:t>75</w:t>
      </w:r>
      <w:r w:rsidR="0080334B" w:rsidRPr="00D9193A">
        <w:rPr>
          <w:rFonts w:ascii="Arial" w:hAnsi="Arial" w:cs="Arial"/>
        </w:rPr>
        <w:t xml:space="preserve"> staff) </w:t>
      </w:r>
      <w:r w:rsidR="00E1160C" w:rsidRPr="00D9193A">
        <w:rPr>
          <w:rFonts w:ascii="Arial" w:hAnsi="Arial" w:cs="Arial"/>
          <w:b/>
        </w:rPr>
        <w:t>1</w:t>
      </w:r>
      <w:r w:rsidR="00D9193A" w:rsidRPr="00D9193A">
        <w:rPr>
          <w:rFonts w:ascii="Arial" w:hAnsi="Arial" w:cs="Arial"/>
          <w:b/>
        </w:rPr>
        <w:t>0.01</w:t>
      </w:r>
      <w:r w:rsidR="00E1160C" w:rsidRPr="00D9193A">
        <w:rPr>
          <w:rFonts w:ascii="Arial" w:hAnsi="Arial" w:cs="Arial"/>
          <w:b/>
        </w:rPr>
        <w:t>%</w:t>
      </w:r>
      <w:r w:rsidR="00E56178" w:rsidRPr="00D9193A">
        <w:rPr>
          <w:rFonts w:ascii="Arial" w:hAnsi="Arial" w:cs="Arial"/>
        </w:rPr>
        <w:t xml:space="preserve"> (or average £</w:t>
      </w:r>
      <w:r w:rsidR="00D9193A" w:rsidRPr="00D9193A">
        <w:rPr>
          <w:rFonts w:ascii="Arial" w:hAnsi="Arial" w:cs="Arial"/>
        </w:rPr>
        <w:t>3.89</w:t>
      </w:r>
      <w:r w:rsidR="00E56178" w:rsidRPr="00D9193A">
        <w:rPr>
          <w:rFonts w:ascii="Arial" w:hAnsi="Arial" w:cs="Arial"/>
        </w:rPr>
        <w:t xml:space="preserve"> an hour)</w:t>
      </w:r>
      <w:r w:rsidR="00E1160C" w:rsidRPr="00D9193A">
        <w:rPr>
          <w:rFonts w:ascii="Arial" w:hAnsi="Arial" w:cs="Arial"/>
        </w:rPr>
        <w:t xml:space="preserve">, </w:t>
      </w:r>
      <w:r w:rsidR="00D9193A" w:rsidRPr="00D9193A">
        <w:rPr>
          <w:rFonts w:ascii="Arial" w:hAnsi="Arial" w:cs="Arial"/>
        </w:rPr>
        <w:t>a 1.7% reduction from 2021</w:t>
      </w:r>
    </w:p>
    <w:p w:rsidR="0080334B" w:rsidRPr="00D9193A" w:rsidRDefault="00F479FD" w:rsidP="004135C2">
      <w:pPr>
        <w:pStyle w:val="ListParagraph"/>
        <w:numPr>
          <w:ilvl w:val="0"/>
          <w:numId w:val="1"/>
        </w:numPr>
        <w:rPr>
          <w:rFonts w:ascii="Arial" w:hAnsi="Arial" w:cs="Arial"/>
        </w:rPr>
      </w:pPr>
      <w:r w:rsidRPr="00D9193A">
        <w:rPr>
          <w:rFonts w:ascii="Arial" w:hAnsi="Arial" w:cs="Arial"/>
        </w:rPr>
        <w:t>E</w:t>
      </w:r>
      <w:r w:rsidR="00E1160C" w:rsidRPr="00D9193A">
        <w:rPr>
          <w:rFonts w:ascii="Arial" w:hAnsi="Arial" w:cs="Arial"/>
        </w:rPr>
        <w:t xml:space="preserve">states/ ancillary </w:t>
      </w:r>
      <w:r w:rsidR="0080334B" w:rsidRPr="00D9193A">
        <w:rPr>
          <w:rFonts w:ascii="Arial" w:hAnsi="Arial" w:cs="Arial"/>
        </w:rPr>
        <w:t>(4</w:t>
      </w:r>
      <w:r w:rsidR="00D9193A" w:rsidRPr="00D9193A">
        <w:rPr>
          <w:rFonts w:ascii="Arial" w:hAnsi="Arial" w:cs="Arial"/>
        </w:rPr>
        <w:t>19</w:t>
      </w:r>
      <w:r w:rsidR="0080334B" w:rsidRPr="00D9193A">
        <w:rPr>
          <w:rFonts w:ascii="Arial" w:hAnsi="Arial" w:cs="Arial"/>
        </w:rPr>
        <w:t xml:space="preserve"> staff) </w:t>
      </w:r>
      <w:r w:rsidR="00D9193A" w:rsidRPr="00D9193A">
        <w:rPr>
          <w:rFonts w:ascii="Arial" w:hAnsi="Arial" w:cs="Arial"/>
        </w:rPr>
        <w:t>6.58% (or average £0.80 an hour) a 4% reduction from 2021</w:t>
      </w:r>
    </w:p>
    <w:p w:rsidR="0080334B" w:rsidRPr="00D9193A" w:rsidRDefault="00F479FD" w:rsidP="004135C2">
      <w:pPr>
        <w:pStyle w:val="ListParagraph"/>
        <w:numPr>
          <w:ilvl w:val="0"/>
          <w:numId w:val="1"/>
        </w:numPr>
        <w:rPr>
          <w:rFonts w:ascii="Arial" w:hAnsi="Arial" w:cs="Arial"/>
        </w:rPr>
      </w:pPr>
      <w:r w:rsidRPr="00D9193A">
        <w:rPr>
          <w:rFonts w:ascii="Arial" w:hAnsi="Arial" w:cs="Arial"/>
        </w:rPr>
        <w:t>A</w:t>
      </w:r>
      <w:r w:rsidR="00E1160C" w:rsidRPr="00D9193A">
        <w:rPr>
          <w:rFonts w:ascii="Arial" w:hAnsi="Arial" w:cs="Arial"/>
        </w:rPr>
        <w:t xml:space="preserve">dditional Professionals </w:t>
      </w:r>
      <w:r w:rsidR="0080334B" w:rsidRPr="00D9193A">
        <w:rPr>
          <w:rFonts w:ascii="Arial" w:hAnsi="Arial" w:cs="Arial"/>
        </w:rPr>
        <w:t xml:space="preserve">(251 staff) </w:t>
      </w:r>
      <w:r w:rsidR="00D9193A" w:rsidRPr="00D9193A">
        <w:rPr>
          <w:rFonts w:ascii="Arial" w:hAnsi="Arial" w:cs="Arial"/>
          <w:b/>
        </w:rPr>
        <w:t>9.42%</w:t>
      </w:r>
      <w:r w:rsidR="00E1160C" w:rsidRPr="00D9193A">
        <w:rPr>
          <w:rFonts w:ascii="Arial" w:hAnsi="Arial" w:cs="Arial"/>
        </w:rPr>
        <w:t xml:space="preserve"> </w:t>
      </w:r>
      <w:r w:rsidR="00D9193A" w:rsidRPr="00D9193A">
        <w:rPr>
          <w:rFonts w:ascii="Arial" w:hAnsi="Arial" w:cs="Arial"/>
        </w:rPr>
        <w:t>(or average £0.80 an hour) similar to 2021</w:t>
      </w:r>
    </w:p>
    <w:p w:rsidR="00F479FD" w:rsidRPr="00D9193A" w:rsidRDefault="007630BF" w:rsidP="00F25544">
      <w:pPr>
        <w:rPr>
          <w:rFonts w:ascii="Arial" w:eastAsia="Times New Roman" w:hAnsi="Arial" w:cs="Arial"/>
          <w:bCs/>
          <w:lang w:eastAsia="en-GB"/>
        </w:rPr>
      </w:pPr>
      <w:r>
        <w:rPr>
          <w:rFonts w:ascii="Arial" w:eastAsia="Times New Roman" w:hAnsi="Arial" w:cs="Arial"/>
          <w:bCs/>
          <w:lang w:eastAsia="en-GB"/>
        </w:rPr>
        <w:t xml:space="preserve">From these </w:t>
      </w:r>
      <w:r w:rsidR="00D9193A" w:rsidRPr="00D9193A">
        <w:rPr>
          <w:rFonts w:ascii="Arial" w:hAnsi="Arial" w:cs="Arial"/>
        </w:rPr>
        <w:t xml:space="preserve">pay gaps in favour of male groups </w:t>
      </w:r>
      <w:r w:rsidR="00D9193A" w:rsidRPr="00D9193A">
        <w:rPr>
          <w:rFonts w:ascii="Arial" w:eastAsia="Times New Roman" w:hAnsi="Arial" w:cs="Arial"/>
          <w:bCs/>
          <w:lang w:eastAsia="en-GB"/>
        </w:rPr>
        <w:t>there has been some improvements against 2021</w:t>
      </w:r>
    </w:p>
    <w:p w:rsidR="00E56178" w:rsidRPr="007630BF" w:rsidRDefault="00E56178" w:rsidP="00F25544">
      <w:pPr>
        <w:rPr>
          <w:rFonts w:ascii="Arial" w:eastAsia="Times New Roman" w:hAnsi="Arial" w:cs="Arial"/>
          <w:b/>
          <w:bCs/>
          <w:lang w:eastAsia="en-GB"/>
        </w:rPr>
      </w:pPr>
      <w:r w:rsidRPr="007630BF">
        <w:rPr>
          <w:rFonts w:ascii="Arial" w:eastAsia="Times New Roman" w:hAnsi="Arial" w:cs="Arial"/>
          <w:b/>
          <w:bCs/>
          <w:lang w:eastAsia="en-GB"/>
        </w:rPr>
        <w:t xml:space="preserve">Impact on the Pay gap if a high quartile pay group with high male ratio are removed </w:t>
      </w:r>
    </w:p>
    <w:tbl>
      <w:tblPr>
        <w:tblW w:w="9224" w:type="dxa"/>
        <w:tblLook w:val="04A0" w:firstRow="1" w:lastRow="0" w:firstColumn="1" w:lastColumn="0" w:noHBand="0" w:noVBand="1"/>
      </w:tblPr>
      <w:tblGrid>
        <w:gridCol w:w="1271"/>
        <w:gridCol w:w="1432"/>
        <w:gridCol w:w="1418"/>
        <w:gridCol w:w="5103"/>
      </w:tblGrid>
      <w:tr w:rsidR="003E6086" w:rsidRPr="003E6086" w:rsidTr="00D067E4">
        <w:trPr>
          <w:trHeight w:val="212"/>
        </w:trPr>
        <w:tc>
          <w:tcPr>
            <w:tcW w:w="4121" w:type="dxa"/>
            <w:gridSpan w:val="3"/>
            <w:tcBorders>
              <w:top w:val="nil"/>
              <w:left w:val="single" w:sz="4" w:space="0" w:color="969696"/>
              <w:bottom w:val="single" w:sz="4" w:space="0" w:color="969696"/>
              <w:right w:val="nil"/>
            </w:tcBorders>
            <w:shd w:val="clear" w:color="000000" w:fill="95B3D7"/>
            <w:hideMark/>
          </w:tcPr>
          <w:p w:rsidR="003E6086" w:rsidRPr="00D067E4" w:rsidRDefault="003E6086" w:rsidP="003E6086">
            <w:pPr>
              <w:spacing w:after="0" w:line="240" w:lineRule="auto"/>
              <w:rPr>
                <w:rFonts w:eastAsia="Times New Roman" w:cstheme="minorHAnsi"/>
                <w:b/>
                <w:bCs/>
                <w:sz w:val="24"/>
                <w:szCs w:val="24"/>
                <w:lang w:eastAsia="en-GB"/>
              </w:rPr>
            </w:pPr>
            <w:r w:rsidRPr="00D067E4">
              <w:rPr>
                <w:rFonts w:eastAsia="Times New Roman" w:cstheme="minorHAnsi"/>
                <w:b/>
                <w:bCs/>
                <w:sz w:val="24"/>
                <w:szCs w:val="24"/>
                <w:lang w:eastAsia="en-GB"/>
              </w:rPr>
              <w:t>Without Consultants and Ad-Hoc Grades</w:t>
            </w:r>
          </w:p>
        </w:tc>
        <w:tc>
          <w:tcPr>
            <w:tcW w:w="5103" w:type="dxa"/>
            <w:vMerge w:val="restart"/>
            <w:tcBorders>
              <w:top w:val="single" w:sz="4" w:space="0" w:color="969696"/>
              <w:left w:val="single" w:sz="4" w:space="0" w:color="969696"/>
              <w:bottom w:val="nil"/>
              <w:right w:val="nil"/>
            </w:tcBorders>
            <w:shd w:val="clear" w:color="000000" w:fill="95B3D7"/>
            <w:vAlign w:val="center"/>
            <w:hideMark/>
          </w:tcPr>
          <w:p w:rsidR="003E6086" w:rsidRPr="00D067E4" w:rsidRDefault="003E6086" w:rsidP="003E6086">
            <w:pPr>
              <w:spacing w:after="0" w:line="240" w:lineRule="auto"/>
              <w:rPr>
                <w:rFonts w:eastAsia="Times New Roman" w:cstheme="minorHAnsi"/>
                <w:bCs/>
                <w:sz w:val="24"/>
                <w:szCs w:val="24"/>
                <w:lang w:eastAsia="en-GB"/>
              </w:rPr>
            </w:pPr>
            <w:r w:rsidRPr="00D067E4">
              <w:rPr>
                <w:rFonts w:eastAsia="Times New Roman" w:cstheme="minorHAnsi"/>
                <w:bCs/>
                <w:sz w:val="24"/>
                <w:szCs w:val="24"/>
                <w:lang w:eastAsia="en-GB"/>
              </w:rPr>
              <w:t>When staff numbers in some of the higher quartile pay levels where male ratio is higher are removed this shows the impact on the mean Gender Pay Gap. This reduces the pay gap from 27.19 to 12.07%. Removing the higher AfC pay bands would also impact for the same reasons. This is because there is proportionally much less females in the higher paid bands - which is why the gender pay gap regulations exist.</w:t>
            </w:r>
          </w:p>
        </w:tc>
      </w:tr>
      <w:tr w:rsidR="003E6086" w:rsidRPr="003E6086" w:rsidTr="00D067E4">
        <w:trPr>
          <w:trHeight w:val="635"/>
        </w:trPr>
        <w:tc>
          <w:tcPr>
            <w:tcW w:w="1271" w:type="dxa"/>
            <w:tcBorders>
              <w:top w:val="nil"/>
              <w:left w:val="single" w:sz="4" w:space="0" w:color="969696"/>
              <w:bottom w:val="single" w:sz="4" w:space="0" w:color="969696"/>
              <w:right w:val="single" w:sz="4" w:space="0" w:color="969696"/>
            </w:tcBorders>
            <w:shd w:val="clear" w:color="000000" w:fill="95B3D7"/>
            <w:hideMark/>
          </w:tcPr>
          <w:p w:rsidR="003E6086" w:rsidRPr="00D067E4" w:rsidRDefault="003E6086" w:rsidP="003E6086">
            <w:pPr>
              <w:spacing w:after="0" w:line="240" w:lineRule="auto"/>
              <w:rPr>
                <w:rFonts w:eastAsia="Times New Roman" w:cstheme="minorHAnsi"/>
                <w:b/>
                <w:bCs/>
                <w:sz w:val="24"/>
                <w:szCs w:val="24"/>
                <w:lang w:eastAsia="en-GB"/>
              </w:rPr>
            </w:pPr>
            <w:r w:rsidRPr="00D067E4">
              <w:rPr>
                <w:rFonts w:eastAsia="Times New Roman" w:cstheme="minorHAnsi"/>
                <w:b/>
                <w:bCs/>
                <w:sz w:val="24"/>
                <w:szCs w:val="24"/>
                <w:lang w:eastAsia="en-GB"/>
              </w:rPr>
              <w:t>Gender</w:t>
            </w:r>
          </w:p>
        </w:tc>
        <w:tc>
          <w:tcPr>
            <w:tcW w:w="1432" w:type="dxa"/>
            <w:tcBorders>
              <w:top w:val="nil"/>
              <w:left w:val="nil"/>
              <w:bottom w:val="single" w:sz="4" w:space="0" w:color="969696"/>
              <w:right w:val="single" w:sz="4" w:space="0" w:color="969696"/>
            </w:tcBorders>
            <w:shd w:val="clear" w:color="000000" w:fill="95B3D7"/>
            <w:hideMark/>
          </w:tcPr>
          <w:p w:rsidR="003E6086" w:rsidRPr="00D067E4" w:rsidRDefault="003E6086" w:rsidP="003E6086">
            <w:pPr>
              <w:spacing w:after="0" w:line="240" w:lineRule="auto"/>
              <w:jc w:val="center"/>
              <w:rPr>
                <w:rFonts w:eastAsia="Times New Roman" w:cstheme="minorHAnsi"/>
                <w:b/>
                <w:bCs/>
                <w:sz w:val="24"/>
                <w:szCs w:val="24"/>
                <w:lang w:eastAsia="en-GB"/>
              </w:rPr>
            </w:pPr>
            <w:r w:rsidRPr="00D067E4">
              <w:rPr>
                <w:rFonts w:eastAsia="Times New Roman" w:cstheme="minorHAnsi"/>
                <w:b/>
                <w:bCs/>
                <w:sz w:val="24"/>
                <w:szCs w:val="24"/>
                <w:lang w:eastAsia="en-GB"/>
              </w:rPr>
              <w:t>Avg. Hourly Rate</w:t>
            </w:r>
          </w:p>
        </w:tc>
        <w:tc>
          <w:tcPr>
            <w:tcW w:w="1418" w:type="dxa"/>
            <w:tcBorders>
              <w:top w:val="nil"/>
              <w:left w:val="nil"/>
              <w:bottom w:val="single" w:sz="4" w:space="0" w:color="969696"/>
              <w:right w:val="single" w:sz="4" w:space="0" w:color="969696"/>
            </w:tcBorders>
            <w:shd w:val="clear" w:color="000000" w:fill="95B3D7"/>
            <w:hideMark/>
          </w:tcPr>
          <w:p w:rsidR="003E6086" w:rsidRPr="00D067E4" w:rsidRDefault="003E6086" w:rsidP="003E6086">
            <w:pPr>
              <w:spacing w:after="0" w:line="240" w:lineRule="auto"/>
              <w:jc w:val="center"/>
              <w:rPr>
                <w:rFonts w:eastAsia="Times New Roman" w:cstheme="minorHAnsi"/>
                <w:b/>
                <w:bCs/>
                <w:sz w:val="24"/>
                <w:szCs w:val="24"/>
                <w:lang w:eastAsia="en-GB"/>
              </w:rPr>
            </w:pPr>
            <w:r w:rsidRPr="00D067E4">
              <w:rPr>
                <w:rFonts w:eastAsia="Times New Roman" w:cstheme="minorHAnsi"/>
                <w:b/>
                <w:bCs/>
                <w:sz w:val="24"/>
                <w:szCs w:val="24"/>
                <w:lang w:eastAsia="en-GB"/>
              </w:rPr>
              <w:t>Median Hourly Rate</w:t>
            </w:r>
          </w:p>
        </w:tc>
        <w:tc>
          <w:tcPr>
            <w:tcW w:w="5103" w:type="dxa"/>
            <w:vMerge/>
            <w:tcBorders>
              <w:top w:val="nil"/>
              <w:left w:val="nil"/>
              <w:bottom w:val="single" w:sz="4" w:space="0" w:color="969696"/>
              <w:right w:val="single" w:sz="4" w:space="0" w:color="969696"/>
            </w:tcBorders>
            <w:vAlign w:val="center"/>
            <w:hideMark/>
          </w:tcPr>
          <w:p w:rsidR="003E6086" w:rsidRPr="003E6086" w:rsidRDefault="003E6086" w:rsidP="003E6086">
            <w:pPr>
              <w:spacing w:after="0" w:line="240" w:lineRule="auto"/>
              <w:rPr>
                <w:rFonts w:ascii="Arial" w:eastAsia="Times New Roman" w:hAnsi="Arial" w:cs="Arial"/>
                <w:b/>
                <w:bCs/>
                <w:lang w:eastAsia="en-GB"/>
              </w:rPr>
            </w:pPr>
          </w:p>
        </w:tc>
      </w:tr>
      <w:tr w:rsidR="003E6086" w:rsidRPr="003E6086" w:rsidTr="00D067E4">
        <w:trPr>
          <w:trHeight w:val="325"/>
        </w:trPr>
        <w:tc>
          <w:tcPr>
            <w:tcW w:w="1271" w:type="dxa"/>
            <w:tcBorders>
              <w:top w:val="nil"/>
              <w:left w:val="single" w:sz="4" w:space="0" w:color="969696"/>
              <w:bottom w:val="single" w:sz="4" w:space="0" w:color="969696"/>
              <w:right w:val="single" w:sz="4" w:space="0" w:color="969696"/>
            </w:tcBorders>
            <w:shd w:val="clear" w:color="000000" w:fill="95B3D7"/>
            <w:hideMark/>
          </w:tcPr>
          <w:p w:rsidR="003E6086" w:rsidRPr="00D067E4" w:rsidRDefault="003E6086" w:rsidP="003E6086">
            <w:pPr>
              <w:spacing w:after="0" w:line="240" w:lineRule="auto"/>
              <w:rPr>
                <w:rFonts w:eastAsia="Times New Roman" w:cstheme="minorHAnsi"/>
                <w:b/>
                <w:bCs/>
                <w:sz w:val="24"/>
                <w:szCs w:val="24"/>
                <w:lang w:eastAsia="en-GB"/>
              </w:rPr>
            </w:pPr>
            <w:r w:rsidRPr="00D067E4">
              <w:rPr>
                <w:rFonts w:eastAsia="Times New Roman" w:cstheme="minorHAnsi"/>
                <w:b/>
                <w:bCs/>
                <w:sz w:val="24"/>
                <w:szCs w:val="24"/>
                <w:lang w:eastAsia="en-GB"/>
              </w:rPr>
              <w:t>Male</w:t>
            </w:r>
          </w:p>
        </w:tc>
        <w:tc>
          <w:tcPr>
            <w:tcW w:w="1432" w:type="dxa"/>
            <w:tcBorders>
              <w:top w:val="nil"/>
              <w:left w:val="nil"/>
              <w:bottom w:val="single" w:sz="4" w:space="0" w:color="969696"/>
              <w:right w:val="single" w:sz="4" w:space="0" w:color="969696"/>
            </w:tcBorders>
            <w:shd w:val="clear" w:color="000000" w:fill="FFFFFF"/>
            <w:hideMark/>
          </w:tcPr>
          <w:p w:rsidR="003E6086" w:rsidRPr="00D067E4" w:rsidRDefault="003E6086" w:rsidP="003E6086">
            <w:pPr>
              <w:spacing w:after="0" w:line="240" w:lineRule="auto"/>
              <w:jc w:val="center"/>
              <w:rPr>
                <w:rFonts w:eastAsia="Times New Roman" w:cstheme="minorHAnsi"/>
                <w:sz w:val="24"/>
                <w:szCs w:val="24"/>
                <w:lang w:eastAsia="en-GB"/>
              </w:rPr>
            </w:pPr>
            <w:r w:rsidRPr="00D067E4">
              <w:rPr>
                <w:rFonts w:eastAsia="Times New Roman" w:cstheme="minorHAnsi"/>
                <w:sz w:val="24"/>
                <w:szCs w:val="24"/>
                <w:lang w:eastAsia="en-GB"/>
              </w:rPr>
              <w:t>£19.08</w:t>
            </w:r>
          </w:p>
        </w:tc>
        <w:tc>
          <w:tcPr>
            <w:tcW w:w="1418" w:type="dxa"/>
            <w:tcBorders>
              <w:top w:val="nil"/>
              <w:left w:val="nil"/>
              <w:bottom w:val="single" w:sz="4" w:space="0" w:color="969696"/>
              <w:right w:val="single" w:sz="4" w:space="0" w:color="969696"/>
            </w:tcBorders>
            <w:shd w:val="clear" w:color="000000" w:fill="FFFFFF"/>
            <w:hideMark/>
          </w:tcPr>
          <w:p w:rsidR="003E6086" w:rsidRPr="00D067E4" w:rsidRDefault="003E6086" w:rsidP="003E6086">
            <w:pPr>
              <w:spacing w:after="0" w:line="240" w:lineRule="auto"/>
              <w:jc w:val="center"/>
              <w:rPr>
                <w:rFonts w:eastAsia="Times New Roman" w:cstheme="minorHAnsi"/>
                <w:sz w:val="24"/>
                <w:szCs w:val="24"/>
                <w:lang w:eastAsia="en-GB"/>
              </w:rPr>
            </w:pPr>
            <w:r w:rsidRPr="00D067E4">
              <w:rPr>
                <w:rFonts w:eastAsia="Times New Roman" w:cstheme="minorHAnsi"/>
                <w:sz w:val="24"/>
                <w:szCs w:val="24"/>
                <w:lang w:eastAsia="en-GB"/>
              </w:rPr>
              <w:t>£16.13</w:t>
            </w:r>
          </w:p>
        </w:tc>
        <w:tc>
          <w:tcPr>
            <w:tcW w:w="5103" w:type="dxa"/>
            <w:vMerge/>
            <w:tcBorders>
              <w:top w:val="nil"/>
              <w:left w:val="nil"/>
              <w:bottom w:val="single" w:sz="4" w:space="0" w:color="969696"/>
              <w:right w:val="single" w:sz="4" w:space="0" w:color="969696"/>
            </w:tcBorders>
            <w:vAlign w:val="center"/>
            <w:hideMark/>
          </w:tcPr>
          <w:p w:rsidR="003E6086" w:rsidRPr="003E6086" w:rsidRDefault="003E6086" w:rsidP="003E6086">
            <w:pPr>
              <w:spacing w:after="0" w:line="240" w:lineRule="auto"/>
              <w:rPr>
                <w:rFonts w:ascii="Arial" w:eastAsia="Times New Roman" w:hAnsi="Arial" w:cs="Arial"/>
                <w:b/>
                <w:bCs/>
                <w:lang w:eastAsia="en-GB"/>
              </w:rPr>
            </w:pPr>
          </w:p>
        </w:tc>
      </w:tr>
      <w:tr w:rsidR="003E6086" w:rsidRPr="003E6086" w:rsidTr="00D067E4">
        <w:trPr>
          <w:trHeight w:val="212"/>
        </w:trPr>
        <w:tc>
          <w:tcPr>
            <w:tcW w:w="1271" w:type="dxa"/>
            <w:tcBorders>
              <w:top w:val="nil"/>
              <w:left w:val="single" w:sz="4" w:space="0" w:color="969696"/>
              <w:bottom w:val="single" w:sz="4" w:space="0" w:color="969696"/>
              <w:right w:val="single" w:sz="4" w:space="0" w:color="969696"/>
            </w:tcBorders>
            <w:shd w:val="clear" w:color="000000" w:fill="95B3D7"/>
            <w:hideMark/>
          </w:tcPr>
          <w:p w:rsidR="003E6086" w:rsidRPr="00D067E4" w:rsidRDefault="003E6086" w:rsidP="003E6086">
            <w:pPr>
              <w:spacing w:after="0" w:line="240" w:lineRule="auto"/>
              <w:rPr>
                <w:rFonts w:eastAsia="Times New Roman" w:cstheme="minorHAnsi"/>
                <w:b/>
                <w:bCs/>
                <w:sz w:val="24"/>
                <w:szCs w:val="24"/>
                <w:lang w:eastAsia="en-GB"/>
              </w:rPr>
            </w:pPr>
            <w:r w:rsidRPr="00D067E4">
              <w:rPr>
                <w:rFonts w:eastAsia="Times New Roman" w:cstheme="minorHAnsi"/>
                <w:b/>
                <w:bCs/>
                <w:sz w:val="24"/>
                <w:szCs w:val="24"/>
                <w:lang w:eastAsia="en-GB"/>
              </w:rPr>
              <w:t>Female</w:t>
            </w:r>
          </w:p>
        </w:tc>
        <w:tc>
          <w:tcPr>
            <w:tcW w:w="1432" w:type="dxa"/>
            <w:tcBorders>
              <w:top w:val="nil"/>
              <w:left w:val="nil"/>
              <w:bottom w:val="single" w:sz="4" w:space="0" w:color="969696"/>
              <w:right w:val="single" w:sz="4" w:space="0" w:color="969696"/>
            </w:tcBorders>
            <w:shd w:val="clear" w:color="000000" w:fill="FFFFFF"/>
            <w:hideMark/>
          </w:tcPr>
          <w:p w:rsidR="003E6086" w:rsidRPr="00D067E4" w:rsidRDefault="003E6086" w:rsidP="003E6086">
            <w:pPr>
              <w:spacing w:after="0" w:line="240" w:lineRule="auto"/>
              <w:jc w:val="center"/>
              <w:rPr>
                <w:rFonts w:eastAsia="Times New Roman" w:cstheme="minorHAnsi"/>
                <w:sz w:val="24"/>
                <w:szCs w:val="24"/>
                <w:lang w:eastAsia="en-GB"/>
              </w:rPr>
            </w:pPr>
            <w:r w:rsidRPr="00D067E4">
              <w:rPr>
                <w:rFonts w:eastAsia="Times New Roman" w:cstheme="minorHAnsi"/>
                <w:sz w:val="24"/>
                <w:szCs w:val="24"/>
                <w:lang w:eastAsia="en-GB"/>
              </w:rPr>
              <w:t>£16.77</w:t>
            </w:r>
          </w:p>
        </w:tc>
        <w:tc>
          <w:tcPr>
            <w:tcW w:w="1418" w:type="dxa"/>
            <w:tcBorders>
              <w:top w:val="nil"/>
              <w:left w:val="nil"/>
              <w:bottom w:val="single" w:sz="4" w:space="0" w:color="969696"/>
              <w:right w:val="single" w:sz="4" w:space="0" w:color="969696"/>
            </w:tcBorders>
            <w:shd w:val="clear" w:color="000000" w:fill="FFFFFF"/>
            <w:hideMark/>
          </w:tcPr>
          <w:p w:rsidR="003E6086" w:rsidRPr="00D067E4" w:rsidRDefault="003E6086" w:rsidP="003E6086">
            <w:pPr>
              <w:spacing w:after="0" w:line="240" w:lineRule="auto"/>
              <w:jc w:val="center"/>
              <w:rPr>
                <w:rFonts w:eastAsia="Times New Roman" w:cstheme="minorHAnsi"/>
                <w:sz w:val="24"/>
                <w:szCs w:val="24"/>
                <w:lang w:eastAsia="en-GB"/>
              </w:rPr>
            </w:pPr>
            <w:r w:rsidRPr="00D067E4">
              <w:rPr>
                <w:rFonts w:eastAsia="Times New Roman" w:cstheme="minorHAnsi"/>
                <w:sz w:val="24"/>
                <w:szCs w:val="24"/>
                <w:lang w:eastAsia="en-GB"/>
              </w:rPr>
              <w:t>£16.13</w:t>
            </w:r>
          </w:p>
        </w:tc>
        <w:tc>
          <w:tcPr>
            <w:tcW w:w="5103" w:type="dxa"/>
            <w:vMerge/>
            <w:tcBorders>
              <w:top w:val="nil"/>
              <w:left w:val="nil"/>
              <w:bottom w:val="single" w:sz="4" w:space="0" w:color="969696"/>
              <w:right w:val="single" w:sz="4" w:space="0" w:color="969696"/>
            </w:tcBorders>
            <w:vAlign w:val="center"/>
            <w:hideMark/>
          </w:tcPr>
          <w:p w:rsidR="003E6086" w:rsidRPr="003E6086" w:rsidRDefault="003E6086" w:rsidP="003E6086">
            <w:pPr>
              <w:spacing w:after="0" w:line="240" w:lineRule="auto"/>
              <w:rPr>
                <w:rFonts w:ascii="Arial" w:eastAsia="Times New Roman" w:hAnsi="Arial" w:cs="Arial"/>
                <w:b/>
                <w:bCs/>
                <w:lang w:eastAsia="en-GB"/>
              </w:rPr>
            </w:pPr>
          </w:p>
        </w:tc>
      </w:tr>
      <w:tr w:rsidR="003E6086" w:rsidRPr="003E6086" w:rsidTr="00D067E4">
        <w:trPr>
          <w:trHeight w:val="293"/>
        </w:trPr>
        <w:tc>
          <w:tcPr>
            <w:tcW w:w="1271" w:type="dxa"/>
            <w:tcBorders>
              <w:top w:val="nil"/>
              <w:left w:val="single" w:sz="4" w:space="0" w:color="969696"/>
              <w:bottom w:val="single" w:sz="4" w:space="0" w:color="969696"/>
              <w:right w:val="single" w:sz="4" w:space="0" w:color="969696"/>
            </w:tcBorders>
            <w:shd w:val="clear" w:color="000000" w:fill="95B3D7"/>
            <w:hideMark/>
          </w:tcPr>
          <w:p w:rsidR="003E6086" w:rsidRPr="00D067E4" w:rsidRDefault="003E6086" w:rsidP="003E6086">
            <w:pPr>
              <w:spacing w:after="0" w:line="240" w:lineRule="auto"/>
              <w:rPr>
                <w:rFonts w:eastAsia="Times New Roman" w:cstheme="minorHAnsi"/>
                <w:b/>
                <w:bCs/>
                <w:sz w:val="24"/>
                <w:szCs w:val="24"/>
                <w:lang w:eastAsia="en-GB"/>
              </w:rPr>
            </w:pPr>
            <w:r w:rsidRPr="00D067E4">
              <w:rPr>
                <w:rFonts w:eastAsia="Times New Roman" w:cstheme="minorHAnsi"/>
                <w:b/>
                <w:bCs/>
                <w:sz w:val="24"/>
                <w:szCs w:val="24"/>
                <w:lang w:eastAsia="en-GB"/>
              </w:rPr>
              <w:t>Difference</w:t>
            </w:r>
          </w:p>
        </w:tc>
        <w:tc>
          <w:tcPr>
            <w:tcW w:w="1432" w:type="dxa"/>
            <w:tcBorders>
              <w:top w:val="nil"/>
              <w:left w:val="nil"/>
              <w:bottom w:val="single" w:sz="4" w:space="0" w:color="969696"/>
              <w:right w:val="single" w:sz="4" w:space="0" w:color="969696"/>
            </w:tcBorders>
            <w:shd w:val="clear" w:color="000000" w:fill="FFFFFF"/>
            <w:hideMark/>
          </w:tcPr>
          <w:p w:rsidR="003E6086" w:rsidRPr="00D067E4" w:rsidRDefault="003E6086" w:rsidP="003E6086">
            <w:pPr>
              <w:spacing w:after="0" w:line="240" w:lineRule="auto"/>
              <w:jc w:val="center"/>
              <w:rPr>
                <w:rFonts w:eastAsia="Times New Roman" w:cstheme="minorHAnsi"/>
                <w:sz w:val="24"/>
                <w:szCs w:val="24"/>
                <w:lang w:eastAsia="en-GB"/>
              </w:rPr>
            </w:pPr>
            <w:r w:rsidRPr="00D067E4">
              <w:rPr>
                <w:rFonts w:eastAsia="Times New Roman" w:cstheme="minorHAnsi"/>
                <w:sz w:val="24"/>
                <w:szCs w:val="24"/>
                <w:lang w:eastAsia="en-GB"/>
              </w:rPr>
              <w:t>£2.30</w:t>
            </w:r>
          </w:p>
        </w:tc>
        <w:tc>
          <w:tcPr>
            <w:tcW w:w="1418" w:type="dxa"/>
            <w:tcBorders>
              <w:top w:val="nil"/>
              <w:left w:val="nil"/>
              <w:bottom w:val="single" w:sz="4" w:space="0" w:color="969696"/>
              <w:right w:val="single" w:sz="4" w:space="0" w:color="969696"/>
            </w:tcBorders>
            <w:shd w:val="clear" w:color="000000" w:fill="FFFFFF"/>
            <w:hideMark/>
          </w:tcPr>
          <w:p w:rsidR="003E6086" w:rsidRPr="00D067E4" w:rsidRDefault="003E6086" w:rsidP="003E6086">
            <w:pPr>
              <w:spacing w:after="0" w:line="240" w:lineRule="auto"/>
              <w:jc w:val="center"/>
              <w:rPr>
                <w:rFonts w:eastAsia="Times New Roman" w:cstheme="minorHAnsi"/>
                <w:sz w:val="24"/>
                <w:szCs w:val="24"/>
                <w:lang w:eastAsia="en-GB"/>
              </w:rPr>
            </w:pPr>
            <w:r w:rsidRPr="00D067E4">
              <w:rPr>
                <w:rFonts w:eastAsia="Times New Roman" w:cstheme="minorHAnsi"/>
                <w:sz w:val="24"/>
                <w:szCs w:val="24"/>
                <w:lang w:eastAsia="en-GB"/>
              </w:rPr>
              <w:t>£0.00</w:t>
            </w:r>
          </w:p>
        </w:tc>
        <w:tc>
          <w:tcPr>
            <w:tcW w:w="5103" w:type="dxa"/>
            <w:vMerge/>
            <w:tcBorders>
              <w:top w:val="nil"/>
              <w:left w:val="nil"/>
              <w:bottom w:val="single" w:sz="4" w:space="0" w:color="969696"/>
              <w:right w:val="single" w:sz="4" w:space="0" w:color="969696"/>
            </w:tcBorders>
            <w:vAlign w:val="center"/>
            <w:hideMark/>
          </w:tcPr>
          <w:p w:rsidR="003E6086" w:rsidRPr="003E6086" w:rsidRDefault="003E6086" w:rsidP="003E6086">
            <w:pPr>
              <w:spacing w:after="0" w:line="240" w:lineRule="auto"/>
              <w:rPr>
                <w:rFonts w:ascii="Arial" w:eastAsia="Times New Roman" w:hAnsi="Arial" w:cs="Arial"/>
                <w:b/>
                <w:bCs/>
                <w:lang w:eastAsia="en-GB"/>
              </w:rPr>
            </w:pPr>
          </w:p>
        </w:tc>
      </w:tr>
      <w:tr w:rsidR="003E6086" w:rsidRPr="003E6086" w:rsidTr="00D067E4">
        <w:trPr>
          <w:trHeight w:val="424"/>
        </w:trPr>
        <w:tc>
          <w:tcPr>
            <w:tcW w:w="1271" w:type="dxa"/>
            <w:tcBorders>
              <w:top w:val="nil"/>
              <w:left w:val="single" w:sz="4" w:space="0" w:color="969696"/>
              <w:bottom w:val="single" w:sz="4" w:space="0" w:color="969696"/>
              <w:right w:val="single" w:sz="4" w:space="0" w:color="969696"/>
            </w:tcBorders>
            <w:shd w:val="clear" w:color="000000" w:fill="95B3D7"/>
            <w:hideMark/>
          </w:tcPr>
          <w:p w:rsidR="003E6086" w:rsidRPr="00D067E4" w:rsidRDefault="003E6086" w:rsidP="003E6086">
            <w:pPr>
              <w:spacing w:after="0" w:line="240" w:lineRule="auto"/>
              <w:rPr>
                <w:rFonts w:eastAsia="Times New Roman" w:cstheme="minorHAnsi"/>
                <w:b/>
                <w:bCs/>
                <w:sz w:val="24"/>
                <w:szCs w:val="24"/>
                <w:lang w:eastAsia="en-GB"/>
              </w:rPr>
            </w:pPr>
            <w:r w:rsidRPr="00D067E4">
              <w:rPr>
                <w:rFonts w:eastAsia="Times New Roman" w:cstheme="minorHAnsi"/>
                <w:b/>
                <w:bCs/>
                <w:sz w:val="24"/>
                <w:szCs w:val="24"/>
                <w:lang w:eastAsia="en-GB"/>
              </w:rPr>
              <w:t>Pay Gap %</w:t>
            </w:r>
          </w:p>
        </w:tc>
        <w:tc>
          <w:tcPr>
            <w:tcW w:w="1432" w:type="dxa"/>
            <w:tcBorders>
              <w:top w:val="nil"/>
              <w:left w:val="nil"/>
              <w:bottom w:val="single" w:sz="4" w:space="0" w:color="969696"/>
              <w:right w:val="single" w:sz="4" w:space="0" w:color="969696"/>
            </w:tcBorders>
            <w:shd w:val="clear" w:color="000000" w:fill="FFFFFF"/>
            <w:hideMark/>
          </w:tcPr>
          <w:p w:rsidR="003E6086" w:rsidRPr="00D067E4" w:rsidRDefault="003E6086" w:rsidP="003E6086">
            <w:pPr>
              <w:spacing w:after="0" w:line="240" w:lineRule="auto"/>
              <w:jc w:val="center"/>
              <w:rPr>
                <w:rFonts w:eastAsia="Times New Roman" w:cstheme="minorHAnsi"/>
                <w:sz w:val="24"/>
                <w:szCs w:val="24"/>
                <w:lang w:eastAsia="en-GB"/>
              </w:rPr>
            </w:pPr>
            <w:r w:rsidRPr="00D067E4">
              <w:rPr>
                <w:rFonts w:eastAsia="Times New Roman" w:cstheme="minorHAnsi"/>
                <w:sz w:val="24"/>
                <w:szCs w:val="24"/>
                <w:lang w:eastAsia="en-GB"/>
              </w:rPr>
              <w:t>12.07%</w:t>
            </w:r>
          </w:p>
        </w:tc>
        <w:tc>
          <w:tcPr>
            <w:tcW w:w="1418" w:type="dxa"/>
            <w:tcBorders>
              <w:top w:val="nil"/>
              <w:left w:val="nil"/>
              <w:bottom w:val="single" w:sz="4" w:space="0" w:color="969696"/>
              <w:right w:val="single" w:sz="4" w:space="0" w:color="969696"/>
            </w:tcBorders>
            <w:shd w:val="clear" w:color="000000" w:fill="FFFFFF"/>
            <w:hideMark/>
          </w:tcPr>
          <w:p w:rsidR="003E6086" w:rsidRPr="00D067E4" w:rsidRDefault="003E6086" w:rsidP="003E6086">
            <w:pPr>
              <w:spacing w:after="0" w:line="240" w:lineRule="auto"/>
              <w:jc w:val="center"/>
              <w:rPr>
                <w:rFonts w:eastAsia="Times New Roman" w:cstheme="minorHAnsi"/>
                <w:sz w:val="24"/>
                <w:szCs w:val="24"/>
                <w:lang w:eastAsia="en-GB"/>
              </w:rPr>
            </w:pPr>
            <w:r w:rsidRPr="00D067E4">
              <w:rPr>
                <w:rFonts w:eastAsia="Times New Roman" w:cstheme="minorHAnsi"/>
                <w:sz w:val="24"/>
                <w:szCs w:val="24"/>
                <w:lang w:eastAsia="en-GB"/>
              </w:rPr>
              <w:t>0.00%</w:t>
            </w:r>
          </w:p>
        </w:tc>
        <w:tc>
          <w:tcPr>
            <w:tcW w:w="5103" w:type="dxa"/>
            <w:vMerge/>
            <w:tcBorders>
              <w:top w:val="nil"/>
              <w:left w:val="nil"/>
              <w:bottom w:val="single" w:sz="4" w:space="0" w:color="969696"/>
              <w:right w:val="single" w:sz="4" w:space="0" w:color="969696"/>
            </w:tcBorders>
            <w:vAlign w:val="center"/>
            <w:hideMark/>
          </w:tcPr>
          <w:p w:rsidR="003E6086" w:rsidRPr="003E6086" w:rsidRDefault="003E6086" w:rsidP="003E6086">
            <w:pPr>
              <w:spacing w:after="0" w:line="240" w:lineRule="auto"/>
              <w:rPr>
                <w:rFonts w:ascii="Arial" w:eastAsia="Times New Roman" w:hAnsi="Arial" w:cs="Arial"/>
                <w:b/>
                <w:bCs/>
                <w:lang w:eastAsia="en-GB"/>
              </w:rPr>
            </w:pPr>
          </w:p>
        </w:tc>
      </w:tr>
    </w:tbl>
    <w:p w:rsidR="007630BF" w:rsidRPr="003E6086" w:rsidRDefault="007630BF" w:rsidP="00C62635">
      <w:pPr>
        <w:spacing w:after="0"/>
        <w:rPr>
          <w:rFonts w:ascii="Arial" w:eastAsia="Times New Roman" w:hAnsi="Arial" w:cs="Arial"/>
          <w:b/>
          <w:bCs/>
          <w:color w:val="FF0000"/>
          <w:lang w:eastAsia="en-GB"/>
        </w:rPr>
      </w:pPr>
    </w:p>
    <w:p w:rsidR="00F74DB0" w:rsidRPr="007E1DBD" w:rsidRDefault="009140C7" w:rsidP="00F25544">
      <w:pPr>
        <w:rPr>
          <w:rFonts w:ascii="Arial" w:eastAsia="Times New Roman" w:hAnsi="Arial" w:cs="Arial"/>
          <w:bCs/>
          <w:lang w:eastAsia="en-GB"/>
        </w:rPr>
      </w:pPr>
      <w:r w:rsidRPr="007E1DBD">
        <w:rPr>
          <w:rFonts w:ascii="Arial" w:eastAsia="Times New Roman" w:hAnsi="Arial" w:cs="Arial"/>
          <w:b/>
          <w:bCs/>
          <w:lang w:eastAsia="en-GB"/>
        </w:rPr>
        <w:t>PAY QUARTILES BHFT 202</w:t>
      </w:r>
      <w:r w:rsidR="007E1DBD">
        <w:rPr>
          <w:rFonts w:ascii="Arial" w:eastAsia="Times New Roman" w:hAnsi="Arial" w:cs="Arial"/>
          <w:b/>
          <w:bCs/>
          <w:lang w:eastAsia="en-GB"/>
        </w:rPr>
        <w:t>2</w:t>
      </w:r>
      <w:r w:rsidRPr="007E1DBD">
        <w:rPr>
          <w:rFonts w:ascii="Arial" w:eastAsia="Times New Roman" w:hAnsi="Arial" w:cs="Arial"/>
          <w:b/>
          <w:bCs/>
          <w:lang w:eastAsia="en-GB"/>
        </w:rPr>
        <w:t xml:space="preserve"> </w:t>
      </w:r>
      <w:r w:rsidR="00F74DB0" w:rsidRPr="007E1DBD">
        <w:rPr>
          <w:rFonts w:ascii="Arial" w:eastAsia="Times New Roman" w:hAnsi="Arial" w:cs="Arial"/>
          <w:b/>
          <w:bCs/>
          <w:lang w:eastAsia="en-GB"/>
        </w:rPr>
        <w:t xml:space="preserve">– female </w:t>
      </w:r>
      <w:r w:rsidR="007E1DBD">
        <w:rPr>
          <w:rFonts w:ascii="Arial" w:eastAsia="Times New Roman" w:hAnsi="Arial" w:cs="Arial"/>
          <w:b/>
          <w:bCs/>
          <w:lang w:eastAsia="en-GB"/>
        </w:rPr>
        <w:t xml:space="preserve">continues to be </w:t>
      </w:r>
      <w:r w:rsidR="00F74DB0" w:rsidRPr="007E1DBD">
        <w:rPr>
          <w:rFonts w:ascii="Arial" w:eastAsia="Times New Roman" w:hAnsi="Arial" w:cs="Arial"/>
          <w:b/>
          <w:bCs/>
          <w:lang w:eastAsia="en-GB"/>
        </w:rPr>
        <w:t xml:space="preserve">under-represented in the top quartile </w:t>
      </w:r>
      <w:r w:rsidR="007E1DBD">
        <w:rPr>
          <w:rFonts w:ascii="Arial" w:eastAsia="Times New Roman" w:hAnsi="Arial" w:cs="Arial"/>
          <w:b/>
          <w:bCs/>
          <w:lang w:eastAsia="en-GB"/>
        </w:rPr>
        <w:t xml:space="preserve">which has a </w:t>
      </w:r>
      <w:r w:rsidR="00F74DB0" w:rsidRPr="007E1DBD">
        <w:rPr>
          <w:rFonts w:ascii="Arial" w:eastAsia="Times New Roman" w:hAnsi="Arial" w:cs="Arial"/>
          <w:b/>
          <w:bCs/>
          <w:lang w:eastAsia="en-GB"/>
        </w:rPr>
        <w:t>high impact on the pay gap</w:t>
      </w:r>
      <w:r w:rsidR="00F74DB0" w:rsidRPr="007E1DBD">
        <w:rPr>
          <w:rFonts w:ascii="Arial" w:eastAsia="Times New Roman" w:hAnsi="Arial" w:cs="Arial"/>
          <w:bCs/>
          <w:lang w:eastAsia="en-GB"/>
        </w:rPr>
        <w:t xml:space="preserve"> </w:t>
      </w:r>
    </w:p>
    <w:p w:rsidR="005C22B5" w:rsidRPr="007E1DBD" w:rsidRDefault="002406E4" w:rsidP="00F25544">
      <w:pPr>
        <w:rPr>
          <w:rFonts w:ascii="Arial" w:eastAsia="Times New Roman" w:hAnsi="Arial" w:cs="Arial"/>
          <w:bCs/>
          <w:lang w:eastAsia="en-GB"/>
        </w:rPr>
      </w:pPr>
      <w:r w:rsidRPr="007E1DBD">
        <w:rPr>
          <w:rFonts w:ascii="Arial" w:eastAsia="Times New Roman" w:hAnsi="Arial" w:cs="Arial"/>
          <w:bCs/>
          <w:lang w:eastAsia="en-GB"/>
        </w:rPr>
        <w:t xml:space="preserve">BHFT </w:t>
      </w:r>
      <w:r w:rsidR="00E56178" w:rsidRPr="007E1DBD">
        <w:rPr>
          <w:rFonts w:ascii="Arial" w:eastAsia="Times New Roman" w:hAnsi="Arial" w:cs="Arial"/>
          <w:bCs/>
          <w:lang w:eastAsia="en-GB"/>
        </w:rPr>
        <w:t>Male at 1</w:t>
      </w:r>
      <w:r w:rsidR="007E1DBD">
        <w:rPr>
          <w:rFonts w:ascii="Arial" w:eastAsia="Times New Roman" w:hAnsi="Arial" w:cs="Arial"/>
          <w:bCs/>
          <w:lang w:eastAsia="en-GB"/>
        </w:rPr>
        <w:t>819 staff form 21.7</w:t>
      </w:r>
      <w:r w:rsidR="00E56178" w:rsidRPr="007E1DBD">
        <w:rPr>
          <w:rFonts w:ascii="Arial" w:eastAsia="Times New Roman" w:hAnsi="Arial" w:cs="Arial"/>
          <w:bCs/>
          <w:lang w:eastAsia="en-GB"/>
        </w:rPr>
        <w:t xml:space="preserve">% of the workforce </w:t>
      </w:r>
      <w:r w:rsidR="00F74DB0" w:rsidRPr="007E1DBD">
        <w:rPr>
          <w:rFonts w:ascii="Arial" w:eastAsia="Times New Roman" w:hAnsi="Arial" w:cs="Arial"/>
          <w:bCs/>
          <w:lang w:eastAsia="en-GB"/>
        </w:rPr>
        <w:t xml:space="preserve">but circa a third </w:t>
      </w:r>
      <w:r w:rsidR="007E1DBD">
        <w:rPr>
          <w:rFonts w:ascii="Arial" w:eastAsia="Times New Roman" w:hAnsi="Arial" w:cs="Arial"/>
          <w:bCs/>
          <w:lang w:eastAsia="en-GB"/>
        </w:rPr>
        <w:t>or 36.1</w:t>
      </w:r>
      <w:r w:rsidR="00F479FD" w:rsidRPr="007E1DBD">
        <w:rPr>
          <w:rFonts w:ascii="Arial" w:eastAsia="Times New Roman" w:hAnsi="Arial" w:cs="Arial"/>
          <w:bCs/>
          <w:lang w:eastAsia="en-GB"/>
        </w:rPr>
        <w:t>%</w:t>
      </w:r>
      <w:r w:rsidRPr="007E1DBD">
        <w:rPr>
          <w:rFonts w:ascii="Arial" w:eastAsia="Times New Roman" w:hAnsi="Arial" w:cs="Arial"/>
          <w:bCs/>
          <w:lang w:eastAsia="en-GB"/>
        </w:rPr>
        <w:t xml:space="preserve"> </w:t>
      </w:r>
      <w:r w:rsidR="00F74DB0" w:rsidRPr="007E1DBD">
        <w:rPr>
          <w:rFonts w:ascii="Arial" w:eastAsia="Times New Roman" w:hAnsi="Arial" w:cs="Arial"/>
          <w:bCs/>
          <w:lang w:eastAsia="en-GB"/>
        </w:rPr>
        <w:t xml:space="preserve">of male staff are in the top quartile </w:t>
      </w:r>
      <w:r w:rsidRPr="007E1DBD">
        <w:rPr>
          <w:rFonts w:ascii="Arial" w:eastAsia="Times New Roman" w:hAnsi="Arial" w:cs="Arial"/>
          <w:bCs/>
          <w:lang w:eastAsia="en-GB"/>
        </w:rPr>
        <w:t xml:space="preserve">and </w:t>
      </w:r>
      <w:r w:rsidR="00F74DB0" w:rsidRPr="007E1DBD">
        <w:rPr>
          <w:rFonts w:ascii="Arial" w:eastAsia="Times New Roman" w:hAnsi="Arial" w:cs="Arial"/>
          <w:bCs/>
          <w:lang w:eastAsia="en-GB"/>
        </w:rPr>
        <w:t xml:space="preserve">in higher paid staff groups. This </w:t>
      </w:r>
      <w:r w:rsidRPr="007E1DBD">
        <w:rPr>
          <w:rFonts w:ascii="Arial" w:eastAsia="Times New Roman" w:hAnsi="Arial" w:cs="Arial"/>
          <w:bCs/>
          <w:lang w:eastAsia="en-GB"/>
        </w:rPr>
        <w:t>1</w:t>
      </w:r>
      <w:r w:rsidR="00F74DB0" w:rsidRPr="007E1DBD">
        <w:rPr>
          <w:rFonts w:ascii="Arial" w:eastAsia="Times New Roman" w:hAnsi="Arial" w:cs="Arial"/>
          <w:bCs/>
          <w:lang w:eastAsia="en-GB"/>
        </w:rPr>
        <w:t xml:space="preserve">5% </w:t>
      </w:r>
      <w:r w:rsidR="00F479FD" w:rsidRPr="007E1DBD">
        <w:rPr>
          <w:rFonts w:ascii="Arial" w:eastAsia="Times New Roman" w:hAnsi="Arial" w:cs="Arial"/>
          <w:bCs/>
          <w:lang w:eastAsia="en-GB"/>
        </w:rPr>
        <w:t xml:space="preserve">or </w:t>
      </w:r>
      <w:r w:rsidRPr="007E1DBD">
        <w:rPr>
          <w:rFonts w:ascii="Arial" w:eastAsia="Times New Roman" w:hAnsi="Arial" w:cs="Arial"/>
          <w:bCs/>
          <w:lang w:eastAsia="en-GB"/>
        </w:rPr>
        <w:t xml:space="preserve">268 male </w:t>
      </w:r>
      <w:r w:rsidR="00F74DB0" w:rsidRPr="007E1DBD">
        <w:rPr>
          <w:rFonts w:ascii="Arial" w:eastAsia="Times New Roman" w:hAnsi="Arial" w:cs="Arial"/>
          <w:bCs/>
          <w:lang w:eastAsia="en-GB"/>
        </w:rPr>
        <w:t>over representation in the top quartile compare</w:t>
      </w:r>
      <w:r w:rsidRPr="007E1DBD">
        <w:rPr>
          <w:rFonts w:ascii="Arial" w:eastAsia="Times New Roman" w:hAnsi="Arial" w:cs="Arial"/>
          <w:bCs/>
          <w:lang w:eastAsia="en-GB"/>
        </w:rPr>
        <w:t>s</w:t>
      </w:r>
      <w:r w:rsidR="00F74DB0" w:rsidRPr="007E1DBD">
        <w:rPr>
          <w:rFonts w:ascii="Arial" w:eastAsia="Times New Roman" w:hAnsi="Arial" w:cs="Arial"/>
          <w:bCs/>
          <w:lang w:eastAsia="en-GB"/>
        </w:rPr>
        <w:t xml:space="preserve"> to a 15% under representation of </w:t>
      </w:r>
      <w:r w:rsidR="00F479FD" w:rsidRPr="007E1DBD">
        <w:rPr>
          <w:rFonts w:ascii="Arial" w:eastAsia="Times New Roman" w:hAnsi="Arial" w:cs="Arial"/>
          <w:bCs/>
          <w:lang w:eastAsia="en-GB"/>
        </w:rPr>
        <w:t xml:space="preserve">972 </w:t>
      </w:r>
      <w:r w:rsidR="00F74DB0" w:rsidRPr="007E1DBD">
        <w:rPr>
          <w:rFonts w:ascii="Arial" w:eastAsia="Times New Roman" w:hAnsi="Arial" w:cs="Arial"/>
          <w:bCs/>
          <w:lang w:eastAsia="en-GB"/>
        </w:rPr>
        <w:t>female.</w:t>
      </w:r>
    </w:p>
    <w:tbl>
      <w:tblPr>
        <w:tblW w:w="9776" w:type="dxa"/>
        <w:tblLook w:val="04A0" w:firstRow="1" w:lastRow="0" w:firstColumn="1" w:lastColumn="0" w:noHBand="0" w:noVBand="1"/>
      </w:tblPr>
      <w:tblGrid>
        <w:gridCol w:w="1020"/>
        <w:gridCol w:w="1020"/>
        <w:gridCol w:w="1020"/>
        <w:gridCol w:w="1188"/>
        <w:gridCol w:w="1188"/>
        <w:gridCol w:w="1020"/>
        <w:gridCol w:w="256"/>
        <w:gridCol w:w="1647"/>
        <w:gridCol w:w="1417"/>
      </w:tblGrid>
      <w:tr w:rsidR="007E0798" w:rsidRPr="003E6086" w:rsidTr="00A32EC1">
        <w:trPr>
          <w:trHeight w:val="287"/>
        </w:trPr>
        <w:tc>
          <w:tcPr>
            <w:tcW w:w="1020" w:type="dxa"/>
            <w:tcBorders>
              <w:top w:val="single" w:sz="4" w:space="0" w:color="969696"/>
              <w:left w:val="single" w:sz="4" w:space="0" w:color="969696"/>
              <w:bottom w:val="nil"/>
              <w:right w:val="nil"/>
            </w:tcBorders>
            <w:shd w:val="clear" w:color="000000" w:fill="95B3D7"/>
            <w:hideMark/>
          </w:tcPr>
          <w:p w:rsidR="007E0798" w:rsidRPr="003E6086" w:rsidRDefault="007E0798" w:rsidP="003E6086">
            <w:pPr>
              <w:spacing w:after="0" w:line="240" w:lineRule="auto"/>
              <w:rPr>
                <w:rFonts w:ascii="Calibri" w:eastAsia="Times New Roman" w:hAnsi="Calibri" w:cs="Calibri"/>
                <w:b/>
                <w:bCs/>
                <w:lang w:eastAsia="en-GB"/>
              </w:rPr>
            </w:pPr>
            <w:r w:rsidRPr="003E6086">
              <w:rPr>
                <w:rFonts w:ascii="Calibri" w:eastAsia="Times New Roman" w:hAnsi="Calibri" w:cs="Calibri"/>
                <w:b/>
                <w:bCs/>
                <w:lang w:eastAsia="en-GB"/>
              </w:rPr>
              <w:t>Quartile</w:t>
            </w:r>
          </w:p>
        </w:tc>
        <w:tc>
          <w:tcPr>
            <w:tcW w:w="1020" w:type="dxa"/>
            <w:tcBorders>
              <w:top w:val="single" w:sz="4" w:space="0" w:color="969696"/>
              <w:left w:val="single" w:sz="4" w:space="0" w:color="969696"/>
              <w:bottom w:val="single" w:sz="4" w:space="0" w:color="969696"/>
              <w:right w:val="nil"/>
            </w:tcBorders>
            <w:shd w:val="clear" w:color="000000" w:fill="95B3D7"/>
            <w:hideMark/>
          </w:tcPr>
          <w:p w:rsidR="007E0798" w:rsidRPr="003E6086" w:rsidRDefault="007E0798" w:rsidP="003E6086">
            <w:pPr>
              <w:spacing w:after="0" w:line="240" w:lineRule="auto"/>
              <w:jc w:val="center"/>
              <w:rPr>
                <w:rFonts w:ascii="Calibri" w:eastAsia="Times New Roman" w:hAnsi="Calibri" w:cs="Calibri"/>
                <w:b/>
                <w:bCs/>
                <w:lang w:eastAsia="en-GB"/>
              </w:rPr>
            </w:pPr>
            <w:r w:rsidRPr="003E6086">
              <w:rPr>
                <w:rFonts w:ascii="Calibri" w:eastAsia="Times New Roman" w:hAnsi="Calibri" w:cs="Calibri"/>
                <w:b/>
                <w:bCs/>
                <w:lang w:eastAsia="en-GB"/>
              </w:rPr>
              <w:t>Female</w:t>
            </w:r>
          </w:p>
        </w:tc>
        <w:tc>
          <w:tcPr>
            <w:tcW w:w="1020" w:type="dxa"/>
            <w:tcBorders>
              <w:top w:val="single" w:sz="4" w:space="0" w:color="969696"/>
              <w:left w:val="single" w:sz="4" w:space="0" w:color="969696"/>
              <w:bottom w:val="single" w:sz="4" w:space="0" w:color="969696"/>
              <w:right w:val="nil"/>
            </w:tcBorders>
            <w:shd w:val="clear" w:color="000000" w:fill="95B3D7"/>
            <w:hideMark/>
          </w:tcPr>
          <w:p w:rsidR="007E0798" w:rsidRPr="003E6086" w:rsidRDefault="007E0798" w:rsidP="003E6086">
            <w:pPr>
              <w:spacing w:after="0" w:line="240" w:lineRule="auto"/>
              <w:jc w:val="center"/>
              <w:rPr>
                <w:rFonts w:ascii="Calibri" w:eastAsia="Times New Roman" w:hAnsi="Calibri" w:cs="Calibri"/>
                <w:b/>
                <w:bCs/>
                <w:lang w:eastAsia="en-GB"/>
              </w:rPr>
            </w:pPr>
            <w:r w:rsidRPr="003E6086">
              <w:rPr>
                <w:rFonts w:ascii="Calibri" w:eastAsia="Times New Roman" w:hAnsi="Calibri" w:cs="Calibri"/>
                <w:b/>
                <w:bCs/>
                <w:lang w:eastAsia="en-GB"/>
              </w:rPr>
              <w:t>Male</w:t>
            </w:r>
          </w:p>
        </w:tc>
        <w:tc>
          <w:tcPr>
            <w:tcW w:w="1188" w:type="dxa"/>
            <w:tcBorders>
              <w:top w:val="single" w:sz="4" w:space="0" w:color="969696"/>
              <w:left w:val="single" w:sz="4" w:space="0" w:color="969696"/>
              <w:bottom w:val="single" w:sz="4" w:space="0" w:color="969696"/>
              <w:right w:val="single" w:sz="4" w:space="0" w:color="969696"/>
            </w:tcBorders>
            <w:shd w:val="clear" w:color="000000" w:fill="95B3D7"/>
          </w:tcPr>
          <w:p w:rsidR="007E0798" w:rsidRPr="003E6086" w:rsidRDefault="007E0798" w:rsidP="003E6086">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Total</w:t>
            </w:r>
          </w:p>
        </w:tc>
        <w:tc>
          <w:tcPr>
            <w:tcW w:w="1188" w:type="dxa"/>
            <w:tcBorders>
              <w:top w:val="single" w:sz="4" w:space="0" w:color="969696"/>
              <w:left w:val="single" w:sz="4" w:space="0" w:color="969696"/>
              <w:bottom w:val="single" w:sz="4" w:space="0" w:color="969696"/>
              <w:right w:val="nil"/>
            </w:tcBorders>
            <w:shd w:val="clear" w:color="000000" w:fill="95B3D7"/>
            <w:hideMark/>
          </w:tcPr>
          <w:p w:rsidR="007E0798" w:rsidRPr="003E6086" w:rsidRDefault="007E0798" w:rsidP="003E6086">
            <w:pPr>
              <w:spacing w:after="0" w:line="240" w:lineRule="auto"/>
              <w:jc w:val="center"/>
              <w:rPr>
                <w:rFonts w:ascii="Calibri" w:eastAsia="Times New Roman" w:hAnsi="Calibri" w:cs="Calibri"/>
                <w:b/>
                <w:bCs/>
                <w:lang w:eastAsia="en-GB"/>
              </w:rPr>
            </w:pPr>
            <w:r w:rsidRPr="003E6086">
              <w:rPr>
                <w:rFonts w:ascii="Calibri" w:eastAsia="Times New Roman" w:hAnsi="Calibri" w:cs="Calibri"/>
                <w:b/>
                <w:bCs/>
                <w:lang w:eastAsia="en-GB"/>
              </w:rPr>
              <w:t>Female %</w:t>
            </w:r>
          </w:p>
        </w:tc>
        <w:tc>
          <w:tcPr>
            <w:tcW w:w="1020" w:type="dxa"/>
            <w:tcBorders>
              <w:top w:val="single" w:sz="4" w:space="0" w:color="969696"/>
              <w:left w:val="single" w:sz="4" w:space="0" w:color="969696"/>
              <w:bottom w:val="single" w:sz="4" w:space="0" w:color="969696"/>
              <w:right w:val="single" w:sz="4" w:space="0" w:color="969696"/>
            </w:tcBorders>
            <w:shd w:val="clear" w:color="000000" w:fill="95B3D7"/>
            <w:hideMark/>
          </w:tcPr>
          <w:p w:rsidR="007E0798" w:rsidRPr="003E6086" w:rsidRDefault="007E0798" w:rsidP="003E6086">
            <w:pPr>
              <w:spacing w:after="0" w:line="240" w:lineRule="auto"/>
              <w:jc w:val="center"/>
              <w:rPr>
                <w:rFonts w:ascii="Calibri" w:eastAsia="Times New Roman" w:hAnsi="Calibri" w:cs="Calibri"/>
                <w:b/>
                <w:bCs/>
                <w:lang w:eastAsia="en-GB"/>
              </w:rPr>
            </w:pPr>
            <w:r w:rsidRPr="003E6086">
              <w:rPr>
                <w:rFonts w:ascii="Calibri" w:eastAsia="Times New Roman" w:hAnsi="Calibri" w:cs="Calibri"/>
                <w:b/>
                <w:bCs/>
                <w:lang w:eastAsia="en-GB"/>
              </w:rPr>
              <w:t>Male %</w:t>
            </w:r>
          </w:p>
        </w:tc>
        <w:tc>
          <w:tcPr>
            <w:tcW w:w="256" w:type="dxa"/>
            <w:tcBorders>
              <w:top w:val="single" w:sz="4" w:space="0" w:color="969696"/>
              <w:left w:val="single" w:sz="4" w:space="0" w:color="969696"/>
              <w:bottom w:val="single" w:sz="4" w:space="0" w:color="969696"/>
              <w:right w:val="single" w:sz="4" w:space="0" w:color="969696"/>
            </w:tcBorders>
            <w:shd w:val="clear" w:color="000000" w:fill="95B3D7"/>
          </w:tcPr>
          <w:p w:rsidR="007E0798" w:rsidRPr="003E6086" w:rsidRDefault="007E0798" w:rsidP="003E6086">
            <w:pPr>
              <w:spacing w:after="0" w:line="240" w:lineRule="auto"/>
              <w:jc w:val="center"/>
              <w:rPr>
                <w:rFonts w:ascii="Calibri" w:eastAsia="Times New Roman" w:hAnsi="Calibri" w:cs="Calibri"/>
                <w:b/>
                <w:bCs/>
                <w:lang w:eastAsia="en-GB"/>
              </w:rPr>
            </w:pPr>
          </w:p>
        </w:tc>
        <w:tc>
          <w:tcPr>
            <w:tcW w:w="1647" w:type="dxa"/>
            <w:tcBorders>
              <w:top w:val="single" w:sz="4" w:space="0" w:color="969696"/>
              <w:left w:val="single" w:sz="4" w:space="0" w:color="969696"/>
              <w:bottom w:val="single" w:sz="4" w:space="0" w:color="969696"/>
              <w:right w:val="single" w:sz="4" w:space="0" w:color="969696"/>
            </w:tcBorders>
            <w:shd w:val="clear" w:color="000000" w:fill="95B3D7"/>
          </w:tcPr>
          <w:p w:rsidR="007E0798" w:rsidRPr="003E6086" w:rsidRDefault="007E0798" w:rsidP="003E6086">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Female % 2021</w:t>
            </w:r>
          </w:p>
        </w:tc>
        <w:tc>
          <w:tcPr>
            <w:tcW w:w="1417" w:type="dxa"/>
            <w:tcBorders>
              <w:top w:val="single" w:sz="4" w:space="0" w:color="969696"/>
              <w:left w:val="single" w:sz="4" w:space="0" w:color="969696"/>
              <w:bottom w:val="single" w:sz="4" w:space="0" w:color="969696"/>
              <w:right w:val="single" w:sz="4" w:space="0" w:color="969696"/>
            </w:tcBorders>
            <w:shd w:val="clear" w:color="000000" w:fill="95B3D7"/>
          </w:tcPr>
          <w:p w:rsidR="007E0798" w:rsidRDefault="007E0798" w:rsidP="00A32EC1">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 xml:space="preserve">Changed % </w:t>
            </w:r>
          </w:p>
        </w:tc>
      </w:tr>
      <w:tr w:rsidR="007E0798" w:rsidRPr="003E6086" w:rsidTr="00A32EC1">
        <w:trPr>
          <w:trHeight w:val="287"/>
        </w:trPr>
        <w:tc>
          <w:tcPr>
            <w:tcW w:w="1020" w:type="dxa"/>
            <w:tcBorders>
              <w:top w:val="single" w:sz="4" w:space="0" w:color="969696"/>
              <w:left w:val="single" w:sz="4" w:space="0" w:color="969696"/>
              <w:bottom w:val="single" w:sz="4" w:space="0" w:color="969696"/>
              <w:right w:val="nil"/>
            </w:tcBorders>
            <w:shd w:val="clear" w:color="000000" w:fill="95B3D7"/>
            <w:hideMark/>
          </w:tcPr>
          <w:p w:rsidR="007E0798" w:rsidRPr="003E6086" w:rsidRDefault="007E0798" w:rsidP="003E6086">
            <w:pPr>
              <w:spacing w:after="0" w:line="240" w:lineRule="auto"/>
              <w:jc w:val="center"/>
              <w:rPr>
                <w:rFonts w:ascii="Calibri" w:eastAsia="Times New Roman" w:hAnsi="Calibri" w:cs="Calibri"/>
                <w:b/>
                <w:bCs/>
                <w:lang w:eastAsia="en-GB"/>
              </w:rPr>
            </w:pPr>
            <w:r w:rsidRPr="003E6086">
              <w:rPr>
                <w:rFonts w:ascii="Calibri" w:eastAsia="Times New Roman" w:hAnsi="Calibri" w:cs="Calibri"/>
                <w:b/>
                <w:bCs/>
                <w:lang w:eastAsia="en-GB"/>
              </w:rPr>
              <w:t>1</w:t>
            </w:r>
          </w:p>
        </w:tc>
        <w:tc>
          <w:tcPr>
            <w:tcW w:w="1020" w:type="dxa"/>
            <w:tcBorders>
              <w:top w:val="nil"/>
              <w:left w:val="single" w:sz="4" w:space="0" w:color="969696"/>
              <w:bottom w:val="single" w:sz="4" w:space="0" w:color="969696"/>
              <w:right w:val="nil"/>
            </w:tcBorders>
            <w:shd w:val="clear" w:color="000000" w:fill="FFFFFF"/>
            <w:hideMark/>
          </w:tcPr>
          <w:p w:rsidR="007E0798" w:rsidRPr="003E6086" w:rsidRDefault="007E0798" w:rsidP="003E6086">
            <w:pPr>
              <w:spacing w:after="0" w:line="240" w:lineRule="auto"/>
              <w:jc w:val="right"/>
              <w:rPr>
                <w:rFonts w:ascii="Calibri" w:eastAsia="Times New Roman" w:hAnsi="Calibri" w:cs="Calibri"/>
                <w:lang w:eastAsia="en-GB"/>
              </w:rPr>
            </w:pPr>
            <w:r w:rsidRPr="003E6086">
              <w:rPr>
                <w:rFonts w:ascii="Calibri" w:eastAsia="Times New Roman" w:hAnsi="Calibri" w:cs="Calibri"/>
                <w:lang w:eastAsia="en-GB"/>
              </w:rPr>
              <w:t>1750</w:t>
            </w:r>
          </w:p>
        </w:tc>
        <w:tc>
          <w:tcPr>
            <w:tcW w:w="1020" w:type="dxa"/>
            <w:tcBorders>
              <w:top w:val="nil"/>
              <w:left w:val="single" w:sz="4" w:space="0" w:color="969696"/>
              <w:bottom w:val="single" w:sz="4" w:space="0" w:color="969696"/>
              <w:right w:val="nil"/>
            </w:tcBorders>
            <w:shd w:val="clear" w:color="000000" w:fill="FFFFFF"/>
            <w:hideMark/>
          </w:tcPr>
          <w:p w:rsidR="007E0798" w:rsidRPr="003E6086" w:rsidRDefault="007E0798" w:rsidP="003E6086">
            <w:pPr>
              <w:spacing w:after="0" w:line="240" w:lineRule="auto"/>
              <w:jc w:val="right"/>
              <w:rPr>
                <w:rFonts w:ascii="Calibri" w:eastAsia="Times New Roman" w:hAnsi="Calibri" w:cs="Calibri"/>
                <w:lang w:eastAsia="en-GB"/>
              </w:rPr>
            </w:pPr>
            <w:r w:rsidRPr="003E6086">
              <w:rPr>
                <w:rFonts w:ascii="Calibri" w:eastAsia="Times New Roman" w:hAnsi="Calibri" w:cs="Calibri"/>
                <w:lang w:eastAsia="en-GB"/>
              </w:rPr>
              <w:t>344</w:t>
            </w:r>
          </w:p>
        </w:tc>
        <w:tc>
          <w:tcPr>
            <w:tcW w:w="1188" w:type="dxa"/>
            <w:tcBorders>
              <w:top w:val="nil"/>
              <w:left w:val="single" w:sz="4" w:space="0" w:color="969696"/>
              <w:bottom w:val="single" w:sz="4" w:space="0" w:color="969696"/>
              <w:right w:val="single" w:sz="4" w:space="0" w:color="969696"/>
            </w:tcBorders>
            <w:shd w:val="clear" w:color="000000" w:fill="FFFFFF"/>
          </w:tcPr>
          <w:p w:rsidR="007E0798" w:rsidRPr="003E6086" w:rsidRDefault="007E0798" w:rsidP="003E6086">
            <w:pPr>
              <w:spacing w:after="0" w:line="240" w:lineRule="auto"/>
              <w:jc w:val="right"/>
              <w:rPr>
                <w:rFonts w:ascii="Calibri" w:eastAsia="Times New Roman" w:hAnsi="Calibri" w:cs="Calibri"/>
                <w:lang w:eastAsia="en-GB"/>
              </w:rPr>
            </w:pPr>
            <w:r>
              <w:rPr>
                <w:rFonts w:ascii="Calibri" w:eastAsia="Times New Roman" w:hAnsi="Calibri" w:cs="Calibri"/>
                <w:lang w:eastAsia="en-GB"/>
              </w:rPr>
              <w:t>2094</w:t>
            </w:r>
          </w:p>
        </w:tc>
        <w:tc>
          <w:tcPr>
            <w:tcW w:w="1188" w:type="dxa"/>
            <w:tcBorders>
              <w:top w:val="nil"/>
              <w:left w:val="single" w:sz="4" w:space="0" w:color="969696"/>
              <w:bottom w:val="single" w:sz="4" w:space="0" w:color="969696"/>
              <w:right w:val="nil"/>
            </w:tcBorders>
            <w:shd w:val="clear" w:color="000000" w:fill="FFFFFF"/>
            <w:hideMark/>
          </w:tcPr>
          <w:p w:rsidR="007E0798" w:rsidRPr="003E6086" w:rsidRDefault="007E0798" w:rsidP="003E6086">
            <w:pPr>
              <w:spacing w:after="0" w:line="240" w:lineRule="auto"/>
              <w:jc w:val="right"/>
              <w:rPr>
                <w:rFonts w:ascii="Calibri" w:eastAsia="Times New Roman" w:hAnsi="Calibri" w:cs="Calibri"/>
                <w:lang w:eastAsia="en-GB"/>
              </w:rPr>
            </w:pPr>
            <w:r w:rsidRPr="003E6086">
              <w:rPr>
                <w:rFonts w:ascii="Calibri" w:eastAsia="Times New Roman" w:hAnsi="Calibri" w:cs="Calibri"/>
                <w:lang w:eastAsia="en-GB"/>
              </w:rPr>
              <w:t>83.6%</w:t>
            </w:r>
          </w:p>
        </w:tc>
        <w:tc>
          <w:tcPr>
            <w:tcW w:w="1020" w:type="dxa"/>
            <w:tcBorders>
              <w:top w:val="nil"/>
              <w:left w:val="single" w:sz="4" w:space="0" w:color="969696"/>
              <w:bottom w:val="single" w:sz="4" w:space="0" w:color="969696"/>
              <w:right w:val="single" w:sz="4" w:space="0" w:color="969696"/>
            </w:tcBorders>
            <w:shd w:val="clear" w:color="000000" w:fill="FFFFFF"/>
            <w:hideMark/>
          </w:tcPr>
          <w:p w:rsidR="007E0798" w:rsidRPr="003E6086" w:rsidRDefault="007E0798" w:rsidP="003E6086">
            <w:pPr>
              <w:spacing w:after="0" w:line="240" w:lineRule="auto"/>
              <w:jc w:val="right"/>
              <w:rPr>
                <w:rFonts w:ascii="Calibri" w:eastAsia="Times New Roman" w:hAnsi="Calibri" w:cs="Calibri"/>
                <w:lang w:eastAsia="en-GB"/>
              </w:rPr>
            </w:pPr>
            <w:r w:rsidRPr="003E6086">
              <w:rPr>
                <w:rFonts w:ascii="Calibri" w:eastAsia="Times New Roman" w:hAnsi="Calibri" w:cs="Calibri"/>
                <w:lang w:eastAsia="en-GB"/>
              </w:rPr>
              <w:t>16.4%</w:t>
            </w:r>
          </w:p>
        </w:tc>
        <w:tc>
          <w:tcPr>
            <w:tcW w:w="256" w:type="dxa"/>
            <w:tcBorders>
              <w:top w:val="nil"/>
              <w:left w:val="single" w:sz="4" w:space="0" w:color="969696"/>
              <w:bottom w:val="single" w:sz="4" w:space="0" w:color="969696"/>
              <w:right w:val="single" w:sz="4" w:space="0" w:color="969696"/>
            </w:tcBorders>
            <w:shd w:val="clear" w:color="000000" w:fill="FFFFFF"/>
          </w:tcPr>
          <w:p w:rsidR="007E0798" w:rsidRPr="003E6086" w:rsidRDefault="007E0798" w:rsidP="003E6086">
            <w:pPr>
              <w:spacing w:after="0" w:line="240" w:lineRule="auto"/>
              <w:jc w:val="right"/>
              <w:rPr>
                <w:rFonts w:ascii="Calibri" w:eastAsia="Times New Roman" w:hAnsi="Calibri" w:cs="Calibri"/>
                <w:lang w:eastAsia="en-GB"/>
              </w:rPr>
            </w:pPr>
          </w:p>
        </w:tc>
        <w:tc>
          <w:tcPr>
            <w:tcW w:w="1647" w:type="dxa"/>
            <w:tcBorders>
              <w:top w:val="nil"/>
              <w:left w:val="single" w:sz="4" w:space="0" w:color="969696"/>
              <w:bottom w:val="single" w:sz="4" w:space="0" w:color="969696"/>
              <w:right w:val="single" w:sz="4" w:space="0" w:color="969696"/>
            </w:tcBorders>
            <w:shd w:val="clear" w:color="000000" w:fill="FFFFFF"/>
          </w:tcPr>
          <w:p w:rsidR="007E0798" w:rsidRPr="003E6086" w:rsidRDefault="007E0798" w:rsidP="003E6086">
            <w:pPr>
              <w:spacing w:after="0" w:line="240" w:lineRule="auto"/>
              <w:jc w:val="right"/>
              <w:rPr>
                <w:rFonts w:ascii="Calibri" w:eastAsia="Times New Roman" w:hAnsi="Calibri" w:cs="Calibri"/>
                <w:lang w:eastAsia="en-GB"/>
              </w:rPr>
            </w:pPr>
            <w:r>
              <w:rPr>
                <w:rFonts w:ascii="Calibri" w:eastAsia="Times New Roman" w:hAnsi="Calibri" w:cs="Calibri"/>
                <w:lang w:eastAsia="en-GB"/>
              </w:rPr>
              <w:t>83.6%</w:t>
            </w:r>
          </w:p>
        </w:tc>
        <w:tc>
          <w:tcPr>
            <w:tcW w:w="1417" w:type="dxa"/>
            <w:tcBorders>
              <w:top w:val="nil"/>
              <w:left w:val="single" w:sz="4" w:space="0" w:color="969696"/>
              <w:bottom w:val="single" w:sz="4" w:space="0" w:color="969696"/>
              <w:right w:val="single" w:sz="4" w:space="0" w:color="969696"/>
            </w:tcBorders>
            <w:shd w:val="clear" w:color="000000" w:fill="FFFFFF"/>
          </w:tcPr>
          <w:p w:rsidR="007E0798" w:rsidRDefault="007E0798" w:rsidP="003E6086">
            <w:pPr>
              <w:spacing w:after="0" w:line="240" w:lineRule="auto"/>
              <w:jc w:val="right"/>
              <w:rPr>
                <w:rFonts w:ascii="Calibri" w:eastAsia="Times New Roman" w:hAnsi="Calibri" w:cs="Calibri"/>
                <w:lang w:eastAsia="en-GB"/>
              </w:rPr>
            </w:pPr>
            <w:r>
              <w:rPr>
                <w:rFonts w:ascii="Calibri" w:eastAsia="Times New Roman" w:hAnsi="Calibri" w:cs="Calibri"/>
                <w:lang w:eastAsia="en-GB"/>
              </w:rPr>
              <w:t>Static %</w:t>
            </w:r>
          </w:p>
        </w:tc>
      </w:tr>
      <w:tr w:rsidR="007E0798" w:rsidRPr="003E6086" w:rsidTr="00A32EC1">
        <w:trPr>
          <w:trHeight w:val="309"/>
        </w:trPr>
        <w:tc>
          <w:tcPr>
            <w:tcW w:w="1020" w:type="dxa"/>
            <w:tcBorders>
              <w:top w:val="nil"/>
              <w:left w:val="single" w:sz="4" w:space="0" w:color="969696"/>
              <w:bottom w:val="single" w:sz="4" w:space="0" w:color="969696"/>
              <w:right w:val="nil"/>
            </w:tcBorders>
            <w:shd w:val="clear" w:color="000000" w:fill="95B3D7"/>
            <w:hideMark/>
          </w:tcPr>
          <w:p w:rsidR="007E0798" w:rsidRPr="003E6086" w:rsidRDefault="007E0798" w:rsidP="003E6086">
            <w:pPr>
              <w:spacing w:after="0" w:line="240" w:lineRule="auto"/>
              <w:jc w:val="center"/>
              <w:rPr>
                <w:rFonts w:ascii="Calibri" w:eastAsia="Times New Roman" w:hAnsi="Calibri" w:cs="Calibri"/>
                <w:b/>
                <w:bCs/>
                <w:lang w:eastAsia="en-GB"/>
              </w:rPr>
            </w:pPr>
            <w:r w:rsidRPr="003E6086">
              <w:rPr>
                <w:rFonts w:ascii="Calibri" w:eastAsia="Times New Roman" w:hAnsi="Calibri" w:cs="Calibri"/>
                <w:b/>
                <w:bCs/>
                <w:lang w:eastAsia="en-GB"/>
              </w:rPr>
              <w:t>2</w:t>
            </w:r>
          </w:p>
        </w:tc>
        <w:tc>
          <w:tcPr>
            <w:tcW w:w="1020" w:type="dxa"/>
            <w:tcBorders>
              <w:top w:val="nil"/>
              <w:left w:val="single" w:sz="4" w:space="0" w:color="969696"/>
              <w:bottom w:val="single" w:sz="4" w:space="0" w:color="969696"/>
              <w:right w:val="nil"/>
            </w:tcBorders>
            <w:shd w:val="clear" w:color="000000" w:fill="FFFFFF"/>
            <w:hideMark/>
          </w:tcPr>
          <w:p w:rsidR="007E0798" w:rsidRPr="003E6086" w:rsidRDefault="007E0798" w:rsidP="003E6086">
            <w:pPr>
              <w:spacing w:after="0" w:line="240" w:lineRule="auto"/>
              <w:jc w:val="right"/>
              <w:rPr>
                <w:rFonts w:ascii="Calibri" w:eastAsia="Times New Roman" w:hAnsi="Calibri" w:cs="Calibri"/>
                <w:lang w:eastAsia="en-GB"/>
              </w:rPr>
            </w:pPr>
            <w:r w:rsidRPr="003E6086">
              <w:rPr>
                <w:rFonts w:ascii="Calibri" w:eastAsia="Times New Roman" w:hAnsi="Calibri" w:cs="Calibri"/>
                <w:lang w:eastAsia="en-GB"/>
              </w:rPr>
              <w:t>1710</w:t>
            </w:r>
          </w:p>
        </w:tc>
        <w:tc>
          <w:tcPr>
            <w:tcW w:w="1020" w:type="dxa"/>
            <w:tcBorders>
              <w:top w:val="nil"/>
              <w:left w:val="single" w:sz="4" w:space="0" w:color="969696"/>
              <w:bottom w:val="single" w:sz="4" w:space="0" w:color="969696"/>
              <w:right w:val="nil"/>
            </w:tcBorders>
            <w:shd w:val="clear" w:color="000000" w:fill="FFFFFF"/>
            <w:hideMark/>
          </w:tcPr>
          <w:p w:rsidR="007E0798" w:rsidRPr="003E6086" w:rsidRDefault="007E0798" w:rsidP="003E6086">
            <w:pPr>
              <w:spacing w:after="0" w:line="240" w:lineRule="auto"/>
              <w:jc w:val="right"/>
              <w:rPr>
                <w:rFonts w:ascii="Calibri" w:eastAsia="Times New Roman" w:hAnsi="Calibri" w:cs="Calibri"/>
                <w:lang w:eastAsia="en-GB"/>
              </w:rPr>
            </w:pPr>
            <w:r w:rsidRPr="003E6086">
              <w:rPr>
                <w:rFonts w:ascii="Calibri" w:eastAsia="Times New Roman" w:hAnsi="Calibri" w:cs="Calibri"/>
                <w:lang w:eastAsia="en-GB"/>
              </w:rPr>
              <w:t>375</w:t>
            </w:r>
          </w:p>
        </w:tc>
        <w:tc>
          <w:tcPr>
            <w:tcW w:w="1188" w:type="dxa"/>
            <w:tcBorders>
              <w:top w:val="nil"/>
              <w:left w:val="single" w:sz="4" w:space="0" w:color="969696"/>
              <w:bottom w:val="single" w:sz="4" w:space="0" w:color="969696"/>
              <w:right w:val="single" w:sz="4" w:space="0" w:color="969696"/>
            </w:tcBorders>
            <w:shd w:val="clear" w:color="000000" w:fill="FFFFFF"/>
          </w:tcPr>
          <w:p w:rsidR="007E0798" w:rsidRPr="003E6086" w:rsidRDefault="007E0798" w:rsidP="003E6086">
            <w:pPr>
              <w:spacing w:after="0" w:line="240" w:lineRule="auto"/>
              <w:jc w:val="right"/>
              <w:rPr>
                <w:rFonts w:ascii="Calibri" w:eastAsia="Times New Roman" w:hAnsi="Calibri" w:cs="Calibri"/>
                <w:lang w:eastAsia="en-GB"/>
              </w:rPr>
            </w:pPr>
            <w:r>
              <w:rPr>
                <w:rFonts w:ascii="Calibri" w:eastAsia="Times New Roman" w:hAnsi="Calibri" w:cs="Calibri"/>
                <w:lang w:eastAsia="en-GB"/>
              </w:rPr>
              <w:t>2085</w:t>
            </w:r>
          </w:p>
        </w:tc>
        <w:tc>
          <w:tcPr>
            <w:tcW w:w="1188" w:type="dxa"/>
            <w:tcBorders>
              <w:top w:val="nil"/>
              <w:left w:val="single" w:sz="4" w:space="0" w:color="969696"/>
              <w:bottom w:val="single" w:sz="4" w:space="0" w:color="969696"/>
              <w:right w:val="nil"/>
            </w:tcBorders>
            <w:shd w:val="clear" w:color="000000" w:fill="FFFFFF"/>
            <w:hideMark/>
          </w:tcPr>
          <w:p w:rsidR="007E0798" w:rsidRPr="003E6086" w:rsidRDefault="007E0798" w:rsidP="003E6086">
            <w:pPr>
              <w:spacing w:after="0" w:line="240" w:lineRule="auto"/>
              <w:jc w:val="right"/>
              <w:rPr>
                <w:rFonts w:ascii="Calibri" w:eastAsia="Times New Roman" w:hAnsi="Calibri" w:cs="Calibri"/>
                <w:lang w:eastAsia="en-GB"/>
              </w:rPr>
            </w:pPr>
            <w:r w:rsidRPr="003E6086">
              <w:rPr>
                <w:rFonts w:ascii="Calibri" w:eastAsia="Times New Roman" w:hAnsi="Calibri" w:cs="Calibri"/>
                <w:lang w:eastAsia="en-GB"/>
              </w:rPr>
              <w:t>82.0%</w:t>
            </w:r>
          </w:p>
        </w:tc>
        <w:tc>
          <w:tcPr>
            <w:tcW w:w="1020" w:type="dxa"/>
            <w:tcBorders>
              <w:top w:val="nil"/>
              <w:left w:val="single" w:sz="4" w:space="0" w:color="969696"/>
              <w:bottom w:val="single" w:sz="4" w:space="0" w:color="969696"/>
              <w:right w:val="single" w:sz="4" w:space="0" w:color="969696"/>
            </w:tcBorders>
            <w:shd w:val="clear" w:color="000000" w:fill="FFFFFF"/>
            <w:hideMark/>
          </w:tcPr>
          <w:p w:rsidR="007E0798" w:rsidRPr="003E6086" w:rsidRDefault="007E0798" w:rsidP="003E6086">
            <w:pPr>
              <w:spacing w:after="0" w:line="240" w:lineRule="auto"/>
              <w:jc w:val="right"/>
              <w:rPr>
                <w:rFonts w:ascii="Calibri" w:eastAsia="Times New Roman" w:hAnsi="Calibri" w:cs="Calibri"/>
                <w:lang w:eastAsia="en-GB"/>
              </w:rPr>
            </w:pPr>
            <w:r w:rsidRPr="003E6086">
              <w:rPr>
                <w:rFonts w:ascii="Calibri" w:eastAsia="Times New Roman" w:hAnsi="Calibri" w:cs="Calibri"/>
                <w:lang w:eastAsia="en-GB"/>
              </w:rPr>
              <w:t>18.0%</w:t>
            </w:r>
          </w:p>
        </w:tc>
        <w:tc>
          <w:tcPr>
            <w:tcW w:w="256" w:type="dxa"/>
            <w:tcBorders>
              <w:top w:val="nil"/>
              <w:left w:val="single" w:sz="4" w:space="0" w:color="969696"/>
              <w:bottom w:val="single" w:sz="4" w:space="0" w:color="969696"/>
              <w:right w:val="single" w:sz="4" w:space="0" w:color="969696"/>
            </w:tcBorders>
            <w:shd w:val="clear" w:color="000000" w:fill="FFFFFF"/>
          </w:tcPr>
          <w:p w:rsidR="007E0798" w:rsidRPr="003E6086" w:rsidRDefault="007E0798" w:rsidP="003E6086">
            <w:pPr>
              <w:spacing w:after="0" w:line="240" w:lineRule="auto"/>
              <w:jc w:val="right"/>
              <w:rPr>
                <w:rFonts w:ascii="Calibri" w:eastAsia="Times New Roman" w:hAnsi="Calibri" w:cs="Calibri"/>
                <w:lang w:eastAsia="en-GB"/>
              </w:rPr>
            </w:pPr>
          </w:p>
        </w:tc>
        <w:tc>
          <w:tcPr>
            <w:tcW w:w="1647" w:type="dxa"/>
            <w:tcBorders>
              <w:top w:val="nil"/>
              <w:left w:val="single" w:sz="4" w:space="0" w:color="969696"/>
              <w:bottom w:val="single" w:sz="4" w:space="0" w:color="969696"/>
              <w:right w:val="single" w:sz="4" w:space="0" w:color="969696"/>
            </w:tcBorders>
            <w:shd w:val="clear" w:color="000000" w:fill="FFFFFF"/>
          </w:tcPr>
          <w:p w:rsidR="007E0798" w:rsidRPr="003E6086" w:rsidRDefault="007E0798" w:rsidP="003E6086">
            <w:pPr>
              <w:spacing w:after="0" w:line="240" w:lineRule="auto"/>
              <w:jc w:val="right"/>
              <w:rPr>
                <w:rFonts w:ascii="Calibri" w:eastAsia="Times New Roman" w:hAnsi="Calibri" w:cs="Calibri"/>
                <w:lang w:eastAsia="en-GB"/>
              </w:rPr>
            </w:pPr>
            <w:r>
              <w:rPr>
                <w:rFonts w:ascii="Calibri" w:eastAsia="Times New Roman" w:hAnsi="Calibri" w:cs="Calibri"/>
                <w:lang w:eastAsia="en-GB"/>
              </w:rPr>
              <w:t>81.7%</w:t>
            </w:r>
          </w:p>
        </w:tc>
        <w:tc>
          <w:tcPr>
            <w:tcW w:w="1417" w:type="dxa"/>
            <w:tcBorders>
              <w:top w:val="nil"/>
              <w:left w:val="single" w:sz="4" w:space="0" w:color="969696"/>
              <w:bottom w:val="single" w:sz="4" w:space="0" w:color="969696"/>
              <w:right w:val="single" w:sz="4" w:space="0" w:color="969696"/>
            </w:tcBorders>
            <w:shd w:val="clear" w:color="000000" w:fill="FFFFFF"/>
          </w:tcPr>
          <w:p w:rsidR="007E0798" w:rsidRDefault="007E0798" w:rsidP="003E6086">
            <w:pPr>
              <w:spacing w:after="0" w:line="240" w:lineRule="auto"/>
              <w:jc w:val="right"/>
              <w:rPr>
                <w:rFonts w:ascii="Calibri" w:eastAsia="Times New Roman" w:hAnsi="Calibri" w:cs="Calibri"/>
                <w:lang w:eastAsia="en-GB"/>
              </w:rPr>
            </w:pPr>
            <w:r>
              <w:rPr>
                <w:rFonts w:ascii="Calibri" w:eastAsia="Times New Roman" w:hAnsi="Calibri" w:cs="Calibri"/>
                <w:lang w:eastAsia="en-GB"/>
              </w:rPr>
              <w:t>+0.3%</w:t>
            </w:r>
          </w:p>
        </w:tc>
      </w:tr>
      <w:tr w:rsidR="007E0798" w:rsidRPr="003E6086" w:rsidTr="00A32EC1">
        <w:trPr>
          <w:trHeight w:val="287"/>
        </w:trPr>
        <w:tc>
          <w:tcPr>
            <w:tcW w:w="1020" w:type="dxa"/>
            <w:tcBorders>
              <w:top w:val="nil"/>
              <w:left w:val="single" w:sz="4" w:space="0" w:color="969696"/>
              <w:bottom w:val="single" w:sz="4" w:space="0" w:color="969696"/>
              <w:right w:val="nil"/>
            </w:tcBorders>
            <w:shd w:val="clear" w:color="000000" w:fill="95B3D7"/>
            <w:hideMark/>
          </w:tcPr>
          <w:p w:rsidR="007E0798" w:rsidRPr="003E6086" w:rsidRDefault="007E0798" w:rsidP="003E6086">
            <w:pPr>
              <w:spacing w:after="0" w:line="240" w:lineRule="auto"/>
              <w:jc w:val="center"/>
              <w:rPr>
                <w:rFonts w:ascii="Calibri" w:eastAsia="Times New Roman" w:hAnsi="Calibri" w:cs="Calibri"/>
                <w:b/>
                <w:bCs/>
                <w:lang w:eastAsia="en-GB"/>
              </w:rPr>
            </w:pPr>
            <w:r w:rsidRPr="003E6086">
              <w:rPr>
                <w:rFonts w:ascii="Calibri" w:eastAsia="Times New Roman" w:hAnsi="Calibri" w:cs="Calibri"/>
                <w:b/>
                <w:bCs/>
                <w:lang w:eastAsia="en-GB"/>
              </w:rPr>
              <w:t>3</w:t>
            </w:r>
          </w:p>
        </w:tc>
        <w:tc>
          <w:tcPr>
            <w:tcW w:w="1020" w:type="dxa"/>
            <w:tcBorders>
              <w:top w:val="nil"/>
              <w:left w:val="single" w:sz="4" w:space="0" w:color="969696"/>
              <w:bottom w:val="single" w:sz="4" w:space="0" w:color="969696"/>
              <w:right w:val="nil"/>
            </w:tcBorders>
            <w:shd w:val="clear" w:color="000000" w:fill="FFFFFF"/>
            <w:hideMark/>
          </w:tcPr>
          <w:p w:rsidR="007E0798" w:rsidRPr="003E6086" w:rsidRDefault="007E0798" w:rsidP="003E6086">
            <w:pPr>
              <w:spacing w:after="0" w:line="240" w:lineRule="auto"/>
              <w:jc w:val="right"/>
              <w:rPr>
                <w:rFonts w:ascii="Calibri" w:eastAsia="Times New Roman" w:hAnsi="Calibri" w:cs="Calibri"/>
                <w:lang w:eastAsia="en-GB"/>
              </w:rPr>
            </w:pPr>
            <w:r w:rsidRPr="003E6086">
              <w:rPr>
                <w:rFonts w:ascii="Calibri" w:eastAsia="Times New Roman" w:hAnsi="Calibri" w:cs="Calibri"/>
                <w:lang w:eastAsia="en-GB"/>
              </w:rPr>
              <w:t>1758</w:t>
            </w:r>
          </w:p>
        </w:tc>
        <w:tc>
          <w:tcPr>
            <w:tcW w:w="1020" w:type="dxa"/>
            <w:tcBorders>
              <w:top w:val="nil"/>
              <w:left w:val="single" w:sz="4" w:space="0" w:color="969696"/>
              <w:bottom w:val="single" w:sz="4" w:space="0" w:color="969696"/>
              <w:right w:val="nil"/>
            </w:tcBorders>
            <w:shd w:val="clear" w:color="000000" w:fill="FFFFFF"/>
            <w:hideMark/>
          </w:tcPr>
          <w:p w:rsidR="007E0798" w:rsidRPr="003E6086" w:rsidRDefault="007E0798" w:rsidP="003E6086">
            <w:pPr>
              <w:spacing w:after="0" w:line="240" w:lineRule="auto"/>
              <w:jc w:val="right"/>
              <w:rPr>
                <w:rFonts w:ascii="Calibri" w:eastAsia="Times New Roman" w:hAnsi="Calibri" w:cs="Calibri"/>
                <w:lang w:eastAsia="en-GB"/>
              </w:rPr>
            </w:pPr>
            <w:r w:rsidRPr="003E6086">
              <w:rPr>
                <w:rFonts w:ascii="Calibri" w:eastAsia="Times New Roman" w:hAnsi="Calibri" w:cs="Calibri"/>
                <w:lang w:eastAsia="en-GB"/>
              </w:rPr>
              <w:t>344</w:t>
            </w:r>
          </w:p>
        </w:tc>
        <w:tc>
          <w:tcPr>
            <w:tcW w:w="1188" w:type="dxa"/>
            <w:tcBorders>
              <w:top w:val="nil"/>
              <w:left w:val="single" w:sz="4" w:space="0" w:color="969696"/>
              <w:bottom w:val="single" w:sz="4" w:space="0" w:color="969696"/>
              <w:right w:val="single" w:sz="4" w:space="0" w:color="969696"/>
            </w:tcBorders>
            <w:shd w:val="clear" w:color="000000" w:fill="FFFFFF"/>
          </w:tcPr>
          <w:p w:rsidR="007E0798" w:rsidRPr="003E6086" w:rsidRDefault="007E0798" w:rsidP="003E6086">
            <w:pPr>
              <w:spacing w:after="0" w:line="240" w:lineRule="auto"/>
              <w:jc w:val="right"/>
              <w:rPr>
                <w:rFonts w:ascii="Calibri" w:eastAsia="Times New Roman" w:hAnsi="Calibri" w:cs="Calibri"/>
                <w:lang w:eastAsia="en-GB"/>
              </w:rPr>
            </w:pPr>
            <w:r>
              <w:rPr>
                <w:rFonts w:ascii="Calibri" w:eastAsia="Times New Roman" w:hAnsi="Calibri" w:cs="Calibri"/>
                <w:lang w:eastAsia="en-GB"/>
              </w:rPr>
              <w:t>2102</w:t>
            </w:r>
          </w:p>
        </w:tc>
        <w:tc>
          <w:tcPr>
            <w:tcW w:w="1188" w:type="dxa"/>
            <w:tcBorders>
              <w:top w:val="nil"/>
              <w:left w:val="single" w:sz="4" w:space="0" w:color="969696"/>
              <w:bottom w:val="single" w:sz="4" w:space="0" w:color="969696"/>
              <w:right w:val="nil"/>
            </w:tcBorders>
            <w:shd w:val="clear" w:color="000000" w:fill="FFFFFF"/>
            <w:hideMark/>
          </w:tcPr>
          <w:p w:rsidR="007E0798" w:rsidRPr="003E6086" w:rsidRDefault="007E0798" w:rsidP="003E6086">
            <w:pPr>
              <w:spacing w:after="0" w:line="240" w:lineRule="auto"/>
              <w:jc w:val="right"/>
              <w:rPr>
                <w:rFonts w:ascii="Calibri" w:eastAsia="Times New Roman" w:hAnsi="Calibri" w:cs="Calibri"/>
                <w:lang w:eastAsia="en-GB"/>
              </w:rPr>
            </w:pPr>
            <w:r w:rsidRPr="003E6086">
              <w:rPr>
                <w:rFonts w:ascii="Calibri" w:eastAsia="Times New Roman" w:hAnsi="Calibri" w:cs="Calibri"/>
                <w:lang w:eastAsia="en-GB"/>
              </w:rPr>
              <w:t>83.6%</w:t>
            </w:r>
          </w:p>
        </w:tc>
        <w:tc>
          <w:tcPr>
            <w:tcW w:w="1020" w:type="dxa"/>
            <w:tcBorders>
              <w:top w:val="nil"/>
              <w:left w:val="single" w:sz="4" w:space="0" w:color="969696"/>
              <w:bottom w:val="single" w:sz="4" w:space="0" w:color="969696"/>
              <w:right w:val="single" w:sz="4" w:space="0" w:color="969696"/>
            </w:tcBorders>
            <w:shd w:val="clear" w:color="000000" w:fill="FFFFFF"/>
            <w:hideMark/>
          </w:tcPr>
          <w:p w:rsidR="007E0798" w:rsidRPr="003E6086" w:rsidRDefault="007E0798" w:rsidP="003E6086">
            <w:pPr>
              <w:spacing w:after="0" w:line="240" w:lineRule="auto"/>
              <w:jc w:val="right"/>
              <w:rPr>
                <w:rFonts w:ascii="Calibri" w:eastAsia="Times New Roman" w:hAnsi="Calibri" w:cs="Calibri"/>
                <w:lang w:eastAsia="en-GB"/>
              </w:rPr>
            </w:pPr>
            <w:r w:rsidRPr="003E6086">
              <w:rPr>
                <w:rFonts w:ascii="Calibri" w:eastAsia="Times New Roman" w:hAnsi="Calibri" w:cs="Calibri"/>
                <w:lang w:eastAsia="en-GB"/>
              </w:rPr>
              <w:t>16.4%</w:t>
            </w:r>
          </w:p>
        </w:tc>
        <w:tc>
          <w:tcPr>
            <w:tcW w:w="256" w:type="dxa"/>
            <w:tcBorders>
              <w:top w:val="nil"/>
              <w:left w:val="single" w:sz="4" w:space="0" w:color="969696"/>
              <w:bottom w:val="single" w:sz="4" w:space="0" w:color="969696"/>
              <w:right w:val="single" w:sz="4" w:space="0" w:color="969696"/>
            </w:tcBorders>
            <w:shd w:val="clear" w:color="000000" w:fill="FFFFFF"/>
          </w:tcPr>
          <w:p w:rsidR="007E0798" w:rsidRPr="003E6086" w:rsidRDefault="007E0798" w:rsidP="003E6086">
            <w:pPr>
              <w:spacing w:after="0" w:line="240" w:lineRule="auto"/>
              <w:jc w:val="right"/>
              <w:rPr>
                <w:rFonts w:ascii="Calibri" w:eastAsia="Times New Roman" w:hAnsi="Calibri" w:cs="Calibri"/>
                <w:lang w:eastAsia="en-GB"/>
              </w:rPr>
            </w:pPr>
          </w:p>
        </w:tc>
        <w:tc>
          <w:tcPr>
            <w:tcW w:w="1647" w:type="dxa"/>
            <w:tcBorders>
              <w:top w:val="nil"/>
              <w:left w:val="single" w:sz="4" w:space="0" w:color="969696"/>
              <w:bottom w:val="single" w:sz="4" w:space="0" w:color="969696"/>
              <w:right w:val="single" w:sz="4" w:space="0" w:color="969696"/>
            </w:tcBorders>
            <w:shd w:val="clear" w:color="000000" w:fill="FFFFFF"/>
          </w:tcPr>
          <w:p w:rsidR="007E0798" w:rsidRPr="003E6086" w:rsidRDefault="007E0798" w:rsidP="003E6086">
            <w:pPr>
              <w:spacing w:after="0" w:line="240" w:lineRule="auto"/>
              <w:jc w:val="right"/>
              <w:rPr>
                <w:rFonts w:ascii="Calibri" w:eastAsia="Times New Roman" w:hAnsi="Calibri" w:cs="Calibri"/>
                <w:lang w:eastAsia="en-GB"/>
              </w:rPr>
            </w:pPr>
            <w:r>
              <w:rPr>
                <w:rFonts w:ascii="Calibri" w:eastAsia="Times New Roman" w:hAnsi="Calibri" w:cs="Calibri"/>
                <w:lang w:eastAsia="en-GB"/>
              </w:rPr>
              <w:t>84.7%</w:t>
            </w:r>
          </w:p>
        </w:tc>
        <w:tc>
          <w:tcPr>
            <w:tcW w:w="1417" w:type="dxa"/>
            <w:tcBorders>
              <w:top w:val="nil"/>
              <w:left w:val="single" w:sz="4" w:space="0" w:color="969696"/>
              <w:bottom w:val="single" w:sz="4" w:space="0" w:color="969696"/>
              <w:right w:val="single" w:sz="4" w:space="0" w:color="969696"/>
            </w:tcBorders>
            <w:shd w:val="clear" w:color="000000" w:fill="FFFFFF"/>
          </w:tcPr>
          <w:p w:rsidR="007E0798" w:rsidRDefault="007E0798" w:rsidP="007E0798">
            <w:pPr>
              <w:spacing w:after="0" w:line="240" w:lineRule="auto"/>
              <w:jc w:val="right"/>
              <w:rPr>
                <w:rFonts w:ascii="Calibri" w:eastAsia="Times New Roman" w:hAnsi="Calibri" w:cs="Calibri"/>
                <w:lang w:eastAsia="en-GB"/>
              </w:rPr>
            </w:pPr>
            <w:r>
              <w:rPr>
                <w:rFonts w:ascii="Calibri" w:eastAsia="Times New Roman" w:hAnsi="Calibri" w:cs="Calibri"/>
                <w:lang w:eastAsia="en-GB"/>
              </w:rPr>
              <w:t xml:space="preserve">- 1.1% </w:t>
            </w:r>
          </w:p>
        </w:tc>
      </w:tr>
      <w:tr w:rsidR="007E0798" w:rsidRPr="003E6086" w:rsidTr="00A32EC1">
        <w:trPr>
          <w:trHeight w:val="287"/>
        </w:trPr>
        <w:tc>
          <w:tcPr>
            <w:tcW w:w="1020" w:type="dxa"/>
            <w:tcBorders>
              <w:top w:val="nil"/>
              <w:left w:val="single" w:sz="4" w:space="0" w:color="969696"/>
              <w:bottom w:val="single" w:sz="4" w:space="0" w:color="969696"/>
              <w:right w:val="nil"/>
            </w:tcBorders>
            <w:shd w:val="clear" w:color="000000" w:fill="95B3D7"/>
            <w:hideMark/>
          </w:tcPr>
          <w:p w:rsidR="007E0798" w:rsidRPr="003E6086" w:rsidRDefault="007E0798" w:rsidP="003E6086">
            <w:pPr>
              <w:spacing w:after="0" w:line="240" w:lineRule="auto"/>
              <w:jc w:val="center"/>
              <w:rPr>
                <w:rFonts w:ascii="Calibri" w:eastAsia="Times New Roman" w:hAnsi="Calibri" w:cs="Calibri"/>
                <w:b/>
                <w:bCs/>
                <w:lang w:eastAsia="en-GB"/>
              </w:rPr>
            </w:pPr>
            <w:r w:rsidRPr="003E6086">
              <w:rPr>
                <w:rFonts w:ascii="Calibri" w:eastAsia="Times New Roman" w:hAnsi="Calibri" w:cs="Calibri"/>
                <w:b/>
                <w:bCs/>
                <w:lang w:eastAsia="en-GB"/>
              </w:rPr>
              <w:t>4</w:t>
            </w:r>
          </w:p>
        </w:tc>
        <w:tc>
          <w:tcPr>
            <w:tcW w:w="1020" w:type="dxa"/>
            <w:tcBorders>
              <w:top w:val="nil"/>
              <w:left w:val="single" w:sz="4" w:space="0" w:color="969696"/>
              <w:bottom w:val="single" w:sz="4" w:space="0" w:color="969696"/>
              <w:right w:val="nil"/>
            </w:tcBorders>
            <w:shd w:val="clear" w:color="000000" w:fill="FFFFFF"/>
            <w:hideMark/>
          </w:tcPr>
          <w:p w:rsidR="007E0798" w:rsidRPr="003E6086" w:rsidRDefault="007E0798" w:rsidP="003E6086">
            <w:pPr>
              <w:spacing w:after="0" w:line="240" w:lineRule="auto"/>
              <w:jc w:val="right"/>
              <w:rPr>
                <w:rFonts w:ascii="Calibri" w:eastAsia="Times New Roman" w:hAnsi="Calibri" w:cs="Calibri"/>
                <w:lang w:eastAsia="en-GB"/>
              </w:rPr>
            </w:pPr>
            <w:r w:rsidRPr="003E6086">
              <w:rPr>
                <w:rFonts w:ascii="Calibri" w:eastAsia="Times New Roman" w:hAnsi="Calibri" w:cs="Calibri"/>
                <w:lang w:eastAsia="en-GB"/>
              </w:rPr>
              <w:t>1338</w:t>
            </w:r>
          </w:p>
        </w:tc>
        <w:tc>
          <w:tcPr>
            <w:tcW w:w="1020" w:type="dxa"/>
            <w:tcBorders>
              <w:top w:val="nil"/>
              <w:left w:val="single" w:sz="4" w:space="0" w:color="969696"/>
              <w:bottom w:val="single" w:sz="4" w:space="0" w:color="969696"/>
              <w:right w:val="nil"/>
            </w:tcBorders>
            <w:shd w:val="clear" w:color="000000" w:fill="FFFFFF"/>
            <w:hideMark/>
          </w:tcPr>
          <w:p w:rsidR="007E0798" w:rsidRPr="003E6086" w:rsidRDefault="007E0798" w:rsidP="003E6086">
            <w:pPr>
              <w:spacing w:after="0" w:line="240" w:lineRule="auto"/>
              <w:jc w:val="right"/>
              <w:rPr>
                <w:rFonts w:ascii="Calibri" w:eastAsia="Times New Roman" w:hAnsi="Calibri" w:cs="Calibri"/>
                <w:lang w:eastAsia="en-GB"/>
              </w:rPr>
            </w:pPr>
            <w:r w:rsidRPr="003E6086">
              <w:rPr>
                <w:rFonts w:ascii="Calibri" w:eastAsia="Times New Roman" w:hAnsi="Calibri" w:cs="Calibri"/>
                <w:lang w:eastAsia="en-GB"/>
              </w:rPr>
              <w:t>756</w:t>
            </w:r>
          </w:p>
        </w:tc>
        <w:tc>
          <w:tcPr>
            <w:tcW w:w="1188" w:type="dxa"/>
            <w:tcBorders>
              <w:top w:val="nil"/>
              <w:left w:val="single" w:sz="4" w:space="0" w:color="969696"/>
              <w:bottom w:val="single" w:sz="4" w:space="0" w:color="969696"/>
              <w:right w:val="single" w:sz="4" w:space="0" w:color="969696"/>
            </w:tcBorders>
            <w:shd w:val="clear" w:color="000000" w:fill="FFFFFF"/>
          </w:tcPr>
          <w:p w:rsidR="007E0798" w:rsidRPr="003E6086" w:rsidRDefault="007E0798" w:rsidP="003E6086">
            <w:pPr>
              <w:spacing w:after="0" w:line="240" w:lineRule="auto"/>
              <w:jc w:val="right"/>
              <w:rPr>
                <w:rFonts w:ascii="Calibri" w:eastAsia="Times New Roman" w:hAnsi="Calibri" w:cs="Calibri"/>
                <w:lang w:eastAsia="en-GB"/>
              </w:rPr>
            </w:pPr>
            <w:r>
              <w:rPr>
                <w:rFonts w:ascii="Calibri" w:eastAsia="Times New Roman" w:hAnsi="Calibri" w:cs="Calibri"/>
                <w:lang w:eastAsia="en-GB"/>
              </w:rPr>
              <w:t>2094</w:t>
            </w:r>
          </w:p>
        </w:tc>
        <w:tc>
          <w:tcPr>
            <w:tcW w:w="1188" w:type="dxa"/>
            <w:tcBorders>
              <w:top w:val="nil"/>
              <w:left w:val="single" w:sz="4" w:space="0" w:color="969696"/>
              <w:bottom w:val="single" w:sz="4" w:space="0" w:color="969696"/>
              <w:right w:val="nil"/>
            </w:tcBorders>
            <w:shd w:val="clear" w:color="000000" w:fill="FFFFFF"/>
            <w:hideMark/>
          </w:tcPr>
          <w:p w:rsidR="007E0798" w:rsidRPr="003E6086" w:rsidRDefault="007E0798" w:rsidP="003E6086">
            <w:pPr>
              <w:spacing w:after="0" w:line="240" w:lineRule="auto"/>
              <w:jc w:val="right"/>
              <w:rPr>
                <w:rFonts w:ascii="Calibri" w:eastAsia="Times New Roman" w:hAnsi="Calibri" w:cs="Calibri"/>
                <w:lang w:eastAsia="en-GB"/>
              </w:rPr>
            </w:pPr>
            <w:r w:rsidRPr="003E6086">
              <w:rPr>
                <w:rFonts w:ascii="Calibri" w:eastAsia="Times New Roman" w:hAnsi="Calibri" w:cs="Calibri"/>
                <w:lang w:eastAsia="en-GB"/>
              </w:rPr>
              <w:t>63.9%</w:t>
            </w:r>
          </w:p>
        </w:tc>
        <w:tc>
          <w:tcPr>
            <w:tcW w:w="1020" w:type="dxa"/>
            <w:tcBorders>
              <w:top w:val="nil"/>
              <w:left w:val="single" w:sz="4" w:space="0" w:color="969696"/>
              <w:bottom w:val="single" w:sz="4" w:space="0" w:color="969696"/>
              <w:right w:val="single" w:sz="4" w:space="0" w:color="969696"/>
            </w:tcBorders>
            <w:shd w:val="clear" w:color="000000" w:fill="FFFFFF"/>
            <w:hideMark/>
          </w:tcPr>
          <w:p w:rsidR="007E0798" w:rsidRPr="003E6086" w:rsidRDefault="007E0798" w:rsidP="003E6086">
            <w:pPr>
              <w:spacing w:after="0" w:line="240" w:lineRule="auto"/>
              <w:jc w:val="right"/>
              <w:rPr>
                <w:rFonts w:ascii="Calibri" w:eastAsia="Times New Roman" w:hAnsi="Calibri" w:cs="Calibri"/>
                <w:lang w:eastAsia="en-GB"/>
              </w:rPr>
            </w:pPr>
            <w:r w:rsidRPr="003E6086">
              <w:rPr>
                <w:rFonts w:ascii="Calibri" w:eastAsia="Times New Roman" w:hAnsi="Calibri" w:cs="Calibri"/>
                <w:lang w:eastAsia="en-GB"/>
              </w:rPr>
              <w:t>36.1%</w:t>
            </w:r>
          </w:p>
        </w:tc>
        <w:tc>
          <w:tcPr>
            <w:tcW w:w="256" w:type="dxa"/>
            <w:tcBorders>
              <w:top w:val="nil"/>
              <w:left w:val="single" w:sz="4" w:space="0" w:color="969696"/>
              <w:bottom w:val="single" w:sz="4" w:space="0" w:color="969696"/>
              <w:right w:val="single" w:sz="4" w:space="0" w:color="969696"/>
            </w:tcBorders>
            <w:shd w:val="clear" w:color="000000" w:fill="FFFFFF"/>
          </w:tcPr>
          <w:p w:rsidR="007E0798" w:rsidRPr="003E6086" w:rsidRDefault="007E0798" w:rsidP="003E6086">
            <w:pPr>
              <w:spacing w:after="0" w:line="240" w:lineRule="auto"/>
              <w:jc w:val="right"/>
              <w:rPr>
                <w:rFonts w:ascii="Calibri" w:eastAsia="Times New Roman" w:hAnsi="Calibri" w:cs="Calibri"/>
                <w:lang w:eastAsia="en-GB"/>
              </w:rPr>
            </w:pPr>
          </w:p>
        </w:tc>
        <w:tc>
          <w:tcPr>
            <w:tcW w:w="1647" w:type="dxa"/>
            <w:tcBorders>
              <w:top w:val="nil"/>
              <w:left w:val="single" w:sz="4" w:space="0" w:color="969696"/>
              <w:bottom w:val="single" w:sz="4" w:space="0" w:color="969696"/>
              <w:right w:val="single" w:sz="4" w:space="0" w:color="969696"/>
            </w:tcBorders>
            <w:shd w:val="clear" w:color="000000" w:fill="FFFFFF"/>
          </w:tcPr>
          <w:p w:rsidR="007E0798" w:rsidRPr="003E6086" w:rsidRDefault="007E0798" w:rsidP="003E6086">
            <w:pPr>
              <w:spacing w:after="0" w:line="240" w:lineRule="auto"/>
              <w:jc w:val="right"/>
              <w:rPr>
                <w:rFonts w:ascii="Calibri" w:eastAsia="Times New Roman" w:hAnsi="Calibri" w:cs="Calibri"/>
                <w:lang w:eastAsia="en-GB"/>
              </w:rPr>
            </w:pPr>
            <w:r>
              <w:rPr>
                <w:rFonts w:ascii="Calibri" w:eastAsia="Times New Roman" w:hAnsi="Calibri" w:cs="Calibri"/>
                <w:lang w:eastAsia="en-GB"/>
              </w:rPr>
              <w:t>63.4%</w:t>
            </w:r>
          </w:p>
        </w:tc>
        <w:tc>
          <w:tcPr>
            <w:tcW w:w="1417" w:type="dxa"/>
            <w:tcBorders>
              <w:top w:val="nil"/>
              <w:left w:val="single" w:sz="4" w:space="0" w:color="969696"/>
              <w:bottom w:val="single" w:sz="4" w:space="0" w:color="969696"/>
              <w:right w:val="single" w:sz="4" w:space="0" w:color="969696"/>
            </w:tcBorders>
            <w:shd w:val="clear" w:color="000000" w:fill="FFFFFF"/>
          </w:tcPr>
          <w:p w:rsidR="007E0798" w:rsidRDefault="007E0798" w:rsidP="003E6086">
            <w:pPr>
              <w:spacing w:after="0" w:line="240" w:lineRule="auto"/>
              <w:jc w:val="right"/>
              <w:rPr>
                <w:rFonts w:ascii="Calibri" w:eastAsia="Times New Roman" w:hAnsi="Calibri" w:cs="Calibri"/>
                <w:lang w:eastAsia="en-GB"/>
              </w:rPr>
            </w:pPr>
            <w:r>
              <w:rPr>
                <w:rFonts w:ascii="Calibri" w:eastAsia="Times New Roman" w:hAnsi="Calibri" w:cs="Calibri"/>
                <w:lang w:eastAsia="en-GB"/>
              </w:rPr>
              <w:t xml:space="preserve">+0.5% </w:t>
            </w:r>
          </w:p>
        </w:tc>
      </w:tr>
      <w:tr w:rsidR="007E0798" w:rsidRPr="003E6086" w:rsidTr="00A32EC1">
        <w:trPr>
          <w:trHeight w:val="287"/>
        </w:trPr>
        <w:tc>
          <w:tcPr>
            <w:tcW w:w="1020" w:type="dxa"/>
            <w:tcBorders>
              <w:top w:val="nil"/>
              <w:left w:val="nil"/>
              <w:bottom w:val="nil"/>
              <w:right w:val="nil"/>
            </w:tcBorders>
            <w:shd w:val="clear" w:color="auto" w:fill="auto"/>
            <w:noWrap/>
            <w:vAlign w:val="bottom"/>
            <w:hideMark/>
          </w:tcPr>
          <w:p w:rsidR="007E0798" w:rsidRPr="003E6086" w:rsidRDefault="007E0798" w:rsidP="003E6086">
            <w:pPr>
              <w:spacing w:after="0" w:line="240" w:lineRule="auto"/>
              <w:jc w:val="right"/>
              <w:rPr>
                <w:rFonts w:ascii="Calibri" w:eastAsia="Times New Roman" w:hAnsi="Calibri" w:cs="Calibri"/>
                <w:lang w:eastAsia="en-GB"/>
              </w:rPr>
            </w:pPr>
          </w:p>
        </w:tc>
        <w:tc>
          <w:tcPr>
            <w:tcW w:w="1020" w:type="dxa"/>
            <w:tcBorders>
              <w:top w:val="nil"/>
              <w:left w:val="nil"/>
              <w:bottom w:val="nil"/>
              <w:right w:val="nil"/>
            </w:tcBorders>
            <w:shd w:val="clear" w:color="auto" w:fill="auto"/>
            <w:noWrap/>
            <w:vAlign w:val="bottom"/>
            <w:hideMark/>
          </w:tcPr>
          <w:p w:rsidR="007E0798" w:rsidRPr="003E6086" w:rsidRDefault="007E0798" w:rsidP="003E6086">
            <w:pPr>
              <w:spacing w:after="0" w:line="240" w:lineRule="auto"/>
              <w:jc w:val="right"/>
              <w:rPr>
                <w:rFonts w:ascii="Calibri" w:eastAsia="Times New Roman" w:hAnsi="Calibri" w:cs="Calibri"/>
                <w:b/>
                <w:color w:val="000000"/>
                <w:lang w:eastAsia="en-GB"/>
              </w:rPr>
            </w:pPr>
            <w:r w:rsidRPr="003E6086">
              <w:rPr>
                <w:rFonts w:ascii="Calibri" w:eastAsia="Times New Roman" w:hAnsi="Calibri" w:cs="Calibri"/>
                <w:b/>
                <w:color w:val="000000"/>
                <w:lang w:eastAsia="en-GB"/>
              </w:rPr>
              <w:t>6556</w:t>
            </w:r>
          </w:p>
        </w:tc>
        <w:tc>
          <w:tcPr>
            <w:tcW w:w="1020" w:type="dxa"/>
            <w:tcBorders>
              <w:top w:val="nil"/>
              <w:left w:val="nil"/>
              <w:bottom w:val="nil"/>
              <w:right w:val="nil"/>
            </w:tcBorders>
            <w:shd w:val="clear" w:color="auto" w:fill="auto"/>
            <w:noWrap/>
            <w:vAlign w:val="bottom"/>
            <w:hideMark/>
          </w:tcPr>
          <w:p w:rsidR="007E0798" w:rsidRPr="003E6086" w:rsidRDefault="007E0798" w:rsidP="003E6086">
            <w:pPr>
              <w:spacing w:after="0" w:line="240" w:lineRule="auto"/>
              <w:jc w:val="right"/>
              <w:rPr>
                <w:rFonts w:ascii="Calibri" w:eastAsia="Times New Roman" w:hAnsi="Calibri" w:cs="Calibri"/>
                <w:b/>
                <w:color w:val="000000"/>
                <w:lang w:eastAsia="en-GB"/>
              </w:rPr>
            </w:pPr>
            <w:r w:rsidRPr="003E6086">
              <w:rPr>
                <w:rFonts w:ascii="Calibri" w:eastAsia="Times New Roman" w:hAnsi="Calibri" w:cs="Calibri"/>
                <w:b/>
                <w:color w:val="000000"/>
                <w:lang w:eastAsia="en-GB"/>
              </w:rPr>
              <w:t>1819</w:t>
            </w:r>
          </w:p>
        </w:tc>
        <w:tc>
          <w:tcPr>
            <w:tcW w:w="1188" w:type="dxa"/>
            <w:tcBorders>
              <w:top w:val="nil"/>
              <w:left w:val="nil"/>
              <w:bottom w:val="nil"/>
              <w:right w:val="nil"/>
            </w:tcBorders>
          </w:tcPr>
          <w:p w:rsidR="007E0798" w:rsidRPr="003E6086" w:rsidRDefault="007E0798" w:rsidP="003E6086">
            <w:pPr>
              <w:spacing w:after="0" w:line="240" w:lineRule="auto"/>
              <w:jc w:val="right"/>
              <w:rPr>
                <w:rFonts w:ascii="Calibri" w:eastAsia="Times New Roman" w:hAnsi="Calibri" w:cs="Calibri"/>
                <w:b/>
                <w:color w:val="000000"/>
                <w:lang w:eastAsia="en-GB"/>
              </w:rPr>
            </w:pPr>
            <w:r>
              <w:rPr>
                <w:rFonts w:ascii="Calibri" w:eastAsia="Times New Roman" w:hAnsi="Calibri" w:cs="Calibri"/>
                <w:b/>
                <w:color w:val="000000"/>
                <w:lang w:eastAsia="en-GB"/>
              </w:rPr>
              <w:t>8375</w:t>
            </w:r>
          </w:p>
        </w:tc>
        <w:tc>
          <w:tcPr>
            <w:tcW w:w="1188" w:type="dxa"/>
            <w:tcBorders>
              <w:top w:val="nil"/>
              <w:left w:val="nil"/>
              <w:bottom w:val="nil"/>
              <w:right w:val="nil"/>
            </w:tcBorders>
            <w:shd w:val="clear" w:color="auto" w:fill="auto"/>
            <w:noWrap/>
            <w:vAlign w:val="bottom"/>
            <w:hideMark/>
          </w:tcPr>
          <w:p w:rsidR="007E0798" w:rsidRPr="003E6086" w:rsidRDefault="007E0798" w:rsidP="003E6086">
            <w:pPr>
              <w:spacing w:after="0" w:line="240" w:lineRule="auto"/>
              <w:jc w:val="right"/>
              <w:rPr>
                <w:rFonts w:ascii="Calibri" w:eastAsia="Times New Roman" w:hAnsi="Calibri" w:cs="Calibri"/>
                <w:b/>
                <w:color w:val="000000"/>
                <w:lang w:eastAsia="en-GB"/>
              </w:rPr>
            </w:pPr>
          </w:p>
        </w:tc>
        <w:tc>
          <w:tcPr>
            <w:tcW w:w="1020" w:type="dxa"/>
            <w:tcBorders>
              <w:top w:val="nil"/>
              <w:left w:val="nil"/>
              <w:bottom w:val="nil"/>
              <w:right w:val="nil"/>
            </w:tcBorders>
            <w:shd w:val="clear" w:color="auto" w:fill="auto"/>
            <w:noWrap/>
            <w:vAlign w:val="bottom"/>
            <w:hideMark/>
          </w:tcPr>
          <w:p w:rsidR="007E0798" w:rsidRPr="003E6086" w:rsidRDefault="007E0798" w:rsidP="003E6086">
            <w:pPr>
              <w:spacing w:after="0" w:line="240" w:lineRule="auto"/>
              <w:rPr>
                <w:rFonts w:ascii="Times New Roman" w:eastAsia="Times New Roman" w:hAnsi="Times New Roman" w:cs="Times New Roman"/>
                <w:sz w:val="20"/>
                <w:szCs w:val="20"/>
                <w:lang w:eastAsia="en-GB"/>
              </w:rPr>
            </w:pPr>
          </w:p>
        </w:tc>
        <w:tc>
          <w:tcPr>
            <w:tcW w:w="256" w:type="dxa"/>
            <w:tcBorders>
              <w:top w:val="nil"/>
              <w:left w:val="nil"/>
              <w:bottom w:val="nil"/>
              <w:right w:val="nil"/>
            </w:tcBorders>
          </w:tcPr>
          <w:p w:rsidR="007E0798" w:rsidRPr="003E6086" w:rsidRDefault="007E0798" w:rsidP="003E6086">
            <w:pPr>
              <w:spacing w:after="0" w:line="240" w:lineRule="auto"/>
              <w:rPr>
                <w:rFonts w:ascii="Times New Roman" w:eastAsia="Times New Roman" w:hAnsi="Times New Roman" w:cs="Times New Roman"/>
                <w:sz w:val="20"/>
                <w:szCs w:val="20"/>
                <w:lang w:eastAsia="en-GB"/>
              </w:rPr>
            </w:pPr>
          </w:p>
        </w:tc>
        <w:tc>
          <w:tcPr>
            <w:tcW w:w="1647" w:type="dxa"/>
            <w:tcBorders>
              <w:top w:val="nil"/>
              <w:left w:val="nil"/>
              <w:bottom w:val="nil"/>
              <w:right w:val="nil"/>
            </w:tcBorders>
          </w:tcPr>
          <w:p w:rsidR="007E0798" w:rsidRPr="003E6086" w:rsidRDefault="007E0798" w:rsidP="003E6086">
            <w:pPr>
              <w:spacing w:after="0" w:line="240" w:lineRule="auto"/>
              <w:rPr>
                <w:rFonts w:ascii="Times New Roman" w:eastAsia="Times New Roman" w:hAnsi="Times New Roman" w:cs="Times New Roman"/>
                <w:sz w:val="20"/>
                <w:szCs w:val="20"/>
                <w:lang w:eastAsia="en-GB"/>
              </w:rPr>
            </w:pPr>
          </w:p>
        </w:tc>
        <w:tc>
          <w:tcPr>
            <w:tcW w:w="1417" w:type="dxa"/>
            <w:tcBorders>
              <w:top w:val="nil"/>
              <w:left w:val="nil"/>
              <w:bottom w:val="nil"/>
              <w:right w:val="nil"/>
            </w:tcBorders>
          </w:tcPr>
          <w:p w:rsidR="007E0798" w:rsidRPr="003E6086" w:rsidRDefault="007E0798" w:rsidP="003E6086">
            <w:pPr>
              <w:spacing w:after="0" w:line="240" w:lineRule="auto"/>
              <w:rPr>
                <w:rFonts w:ascii="Times New Roman" w:eastAsia="Times New Roman" w:hAnsi="Times New Roman" w:cs="Times New Roman"/>
                <w:sz w:val="20"/>
                <w:szCs w:val="20"/>
                <w:lang w:eastAsia="en-GB"/>
              </w:rPr>
            </w:pPr>
          </w:p>
        </w:tc>
      </w:tr>
    </w:tbl>
    <w:p w:rsidR="007E0798" w:rsidRPr="007E0798" w:rsidRDefault="007E0798" w:rsidP="00C62635">
      <w:pPr>
        <w:spacing w:after="0"/>
        <w:rPr>
          <w:rFonts w:ascii="Arial" w:eastAsia="Times New Roman" w:hAnsi="Arial" w:cs="Arial"/>
          <w:bCs/>
          <w:lang w:eastAsia="en-GB"/>
        </w:rPr>
      </w:pPr>
      <w:r w:rsidRPr="007E0798">
        <w:rPr>
          <w:rFonts w:ascii="Arial" w:eastAsia="Times New Roman" w:hAnsi="Arial" w:cs="Arial"/>
          <w:bCs/>
          <w:lang w:eastAsia="en-GB"/>
        </w:rPr>
        <w:t>Gender changes in the top quartile since Y/E 2021 are +26 female and – 1 male</w:t>
      </w:r>
    </w:p>
    <w:p w:rsidR="00F479FD" w:rsidRPr="00C62635" w:rsidRDefault="00F479FD" w:rsidP="00C62635">
      <w:pPr>
        <w:spacing w:after="0"/>
        <w:rPr>
          <w:rFonts w:ascii="Arial" w:eastAsia="Times New Roman" w:hAnsi="Arial" w:cs="Arial"/>
          <w:b/>
          <w:bCs/>
          <w:lang w:eastAsia="en-GB"/>
        </w:rPr>
      </w:pPr>
      <w:r w:rsidRPr="00C62635">
        <w:rPr>
          <w:rFonts w:ascii="Arial" w:eastAsia="Times New Roman" w:hAnsi="Arial" w:cs="Arial"/>
          <w:b/>
          <w:bCs/>
          <w:lang w:eastAsia="en-GB"/>
        </w:rPr>
        <w:t xml:space="preserve">The line chart below shows the impact of this across the pay quartiles </w:t>
      </w:r>
    </w:p>
    <w:p w:rsidR="00C62635" w:rsidRPr="001108D9" w:rsidRDefault="00C62635" w:rsidP="00F479FD">
      <w:pPr>
        <w:spacing w:before="240"/>
        <w:rPr>
          <w:rFonts w:ascii="Arial" w:eastAsia="Times New Roman" w:hAnsi="Arial" w:cs="Arial"/>
          <w:b/>
          <w:bCs/>
          <w:color w:val="FF0000"/>
          <w:lang w:eastAsia="en-GB"/>
        </w:rPr>
      </w:pPr>
      <w:r>
        <w:rPr>
          <w:noProof/>
          <w:lang w:eastAsia="en-GB"/>
        </w:rPr>
        <w:drawing>
          <wp:inline distT="0" distB="0" distL="0" distR="0" wp14:anchorId="53C28FCC" wp14:editId="3D13B4F9">
            <wp:extent cx="5803900" cy="2180166"/>
            <wp:effectExtent l="0" t="0" r="6350" b="1079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79FD" w:rsidRPr="00EE4877" w:rsidRDefault="00F479FD" w:rsidP="00F25544">
      <w:pPr>
        <w:rPr>
          <w:rFonts w:ascii="Arial" w:eastAsia="Times New Roman" w:hAnsi="Arial" w:cs="Arial"/>
          <w:b/>
          <w:bCs/>
          <w:lang w:eastAsia="en-GB"/>
        </w:rPr>
      </w:pPr>
      <w:r w:rsidRPr="00EE4877">
        <w:rPr>
          <w:rFonts w:ascii="Arial" w:eastAsia="Times New Roman" w:hAnsi="Arial" w:cs="Arial"/>
          <w:b/>
          <w:bCs/>
          <w:lang w:eastAsia="en-GB"/>
        </w:rPr>
        <w:t xml:space="preserve">Further details of the pay quartiles, consultants in the top quartile and the impact on the Bonus Pay gap can be found in the additional information later in this document. </w:t>
      </w:r>
    </w:p>
    <w:p w:rsidR="00F479FD" w:rsidRPr="00EE4877" w:rsidRDefault="00F479FD" w:rsidP="00F25544">
      <w:pPr>
        <w:rPr>
          <w:rFonts w:ascii="Arial" w:eastAsia="Times New Roman" w:hAnsi="Arial" w:cs="Arial"/>
          <w:bCs/>
          <w:lang w:eastAsia="en-GB"/>
        </w:rPr>
      </w:pPr>
      <w:r w:rsidRPr="00EE4877">
        <w:rPr>
          <w:rFonts w:ascii="Arial" w:eastAsia="Times New Roman" w:hAnsi="Arial" w:cs="Arial"/>
          <w:b/>
          <w:bCs/>
          <w:lang w:eastAsia="en-GB"/>
        </w:rPr>
        <w:t>Site differentials, gender and numbers in the Staff groups</w:t>
      </w:r>
      <w:r w:rsidRPr="00EE4877">
        <w:rPr>
          <w:rFonts w:ascii="Arial" w:eastAsia="Times New Roman" w:hAnsi="Arial" w:cs="Arial"/>
          <w:bCs/>
          <w:lang w:eastAsia="en-GB"/>
        </w:rPr>
        <w:t xml:space="preserve"> </w:t>
      </w:r>
    </w:p>
    <w:p w:rsidR="00603D60" w:rsidRPr="00EE4877" w:rsidRDefault="00603D60" w:rsidP="00F25544">
      <w:pPr>
        <w:rPr>
          <w:rFonts w:ascii="Arial" w:eastAsia="Times New Roman" w:hAnsi="Arial" w:cs="Arial"/>
          <w:bCs/>
          <w:lang w:eastAsia="en-GB"/>
        </w:rPr>
      </w:pPr>
      <w:r w:rsidRPr="00EE4877">
        <w:rPr>
          <w:rFonts w:ascii="Arial" w:eastAsia="Times New Roman" w:hAnsi="Arial" w:cs="Arial"/>
          <w:bCs/>
          <w:lang w:eastAsia="en-GB"/>
        </w:rPr>
        <w:t>Estates is the only group at B</w:t>
      </w:r>
      <w:r w:rsidR="00F479FD" w:rsidRPr="00EE4877">
        <w:rPr>
          <w:rFonts w:ascii="Arial" w:eastAsia="Times New Roman" w:hAnsi="Arial" w:cs="Arial"/>
          <w:bCs/>
          <w:lang w:eastAsia="en-GB"/>
        </w:rPr>
        <w:t xml:space="preserve">H </w:t>
      </w:r>
      <w:r w:rsidRPr="00EE4877">
        <w:rPr>
          <w:rFonts w:ascii="Arial" w:eastAsia="Times New Roman" w:hAnsi="Arial" w:cs="Arial"/>
          <w:bCs/>
          <w:lang w:eastAsia="en-GB"/>
        </w:rPr>
        <w:t xml:space="preserve">which has higher numbers than at the LDH. From the staff </w:t>
      </w:r>
      <w:r w:rsidR="002406E4" w:rsidRPr="00EE4877">
        <w:rPr>
          <w:rFonts w:ascii="Arial" w:eastAsia="Times New Roman" w:hAnsi="Arial" w:cs="Arial"/>
          <w:bCs/>
          <w:lang w:eastAsia="en-GB"/>
        </w:rPr>
        <w:t>in Estates at BH</w:t>
      </w:r>
      <w:r w:rsidRPr="00EE4877">
        <w:rPr>
          <w:rFonts w:ascii="Arial" w:eastAsia="Times New Roman" w:hAnsi="Arial" w:cs="Arial"/>
          <w:bCs/>
          <w:lang w:eastAsia="en-GB"/>
        </w:rPr>
        <w:t xml:space="preserve">, 55% are female. This is due to </w:t>
      </w:r>
      <w:r w:rsidR="00F479FD" w:rsidRPr="00EE4877">
        <w:rPr>
          <w:rFonts w:ascii="Arial" w:eastAsia="Times New Roman" w:hAnsi="Arial" w:cs="Arial"/>
          <w:bCs/>
          <w:lang w:eastAsia="en-GB"/>
        </w:rPr>
        <w:t>c</w:t>
      </w:r>
      <w:r w:rsidRPr="00EE4877">
        <w:rPr>
          <w:rFonts w:ascii="Arial" w:eastAsia="Times New Roman" w:hAnsi="Arial" w:cs="Arial"/>
          <w:bCs/>
          <w:lang w:eastAsia="en-GB"/>
        </w:rPr>
        <w:t xml:space="preserve">atering and cleaning being in-house at BH and outsourced at LDH. This is a significant amount of females in a lower pay quartile. </w:t>
      </w:r>
    </w:p>
    <w:p w:rsidR="00C44EBC" w:rsidRPr="00EE4877" w:rsidRDefault="00C44EBC" w:rsidP="00ED031F">
      <w:pPr>
        <w:rPr>
          <w:rFonts w:ascii="Arial" w:eastAsia="Times New Roman" w:hAnsi="Arial" w:cs="Arial"/>
          <w:b/>
          <w:bCs/>
          <w:lang w:eastAsia="en-GB"/>
        </w:rPr>
      </w:pPr>
      <w:r w:rsidRPr="00EE4877">
        <w:rPr>
          <w:rFonts w:ascii="Arial" w:eastAsia="Times New Roman" w:hAnsi="Arial" w:cs="Arial"/>
          <w:b/>
          <w:bCs/>
          <w:highlight w:val="lightGray"/>
          <w:lang w:eastAsia="en-GB"/>
        </w:rPr>
        <w:t>PAY GAP BY PAY BANDS</w:t>
      </w:r>
      <w:r w:rsidRPr="00EE4877">
        <w:rPr>
          <w:rFonts w:ascii="Arial" w:eastAsia="Times New Roman" w:hAnsi="Arial" w:cs="Arial"/>
          <w:b/>
          <w:bCs/>
          <w:lang w:eastAsia="en-GB"/>
        </w:rPr>
        <w:t xml:space="preserve"> </w:t>
      </w:r>
    </w:p>
    <w:p w:rsidR="00ED031F" w:rsidRPr="00EE4877" w:rsidRDefault="0058743A" w:rsidP="00ED031F">
      <w:pPr>
        <w:rPr>
          <w:rFonts w:ascii="Arial" w:eastAsia="Times New Roman" w:hAnsi="Arial" w:cs="Arial"/>
          <w:b/>
          <w:bCs/>
          <w:color w:val="FF0000"/>
          <w:lang w:eastAsia="en-GB"/>
        </w:rPr>
      </w:pPr>
      <w:r w:rsidRPr="00B74575">
        <w:rPr>
          <w:rFonts w:ascii="Arial" w:eastAsia="Times New Roman" w:hAnsi="Arial" w:cs="Arial"/>
          <w:b/>
          <w:bCs/>
          <w:lang w:eastAsia="en-GB"/>
        </w:rPr>
        <w:t xml:space="preserve">BHFT </w:t>
      </w:r>
      <w:r w:rsidR="00ED031F" w:rsidRPr="00B74575">
        <w:rPr>
          <w:rFonts w:ascii="Arial" w:eastAsia="Times New Roman" w:hAnsi="Arial" w:cs="Arial"/>
          <w:b/>
          <w:bCs/>
          <w:lang w:eastAsia="en-GB"/>
        </w:rPr>
        <w:t>Average Hourly Rates by Pay Band - YE March 31st 202</w:t>
      </w:r>
      <w:r w:rsidR="00B74575">
        <w:rPr>
          <w:rFonts w:ascii="Arial" w:eastAsia="Times New Roman" w:hAnsi="Arial" w:cs="Arial"/>
          <w:b/>
          <w:bCs/>
          <w:lang w:eastAsia="en-GB"/>
        </w:rPr>
        <w:t>2</w:t>
      </w:r>
    </w:p>
    <w:p w:rsidR="00346B4A" w:rsidRPr="007A7479" w:rsidRDefault="00B74575" w:rsidP="00ED031F">
      <w:pPr>
        <w:rPr>
          <w:rFonts w:ascii="Arial" w:eastAsia="Times New Roman" w:hAnsi="Arial" w:cs="Arial"/>
          <w:bCs/>
          <w:lang w:eastAsia="en-GB"/>
        </w:rPr>
      </w:pPr>
      <w:r w:rsidRPr="007A7479">
        <w:rPr>
          <w:rFonts w:ascii="Arial" w:eastAsia="Times New Roman" w:hAnsi="Arial" w:cs="Arial"/>
          <w:bCs/>
          <w:lang w:eastAsia="en-GB"/>
        </w:rPr>
        <w:t xml:space="preserve">There are no female in Band 1 so there is no gap to measure. </w:t>
      </w:r>
      <w:r w:rsidR="00354C01" w:rsidRPr="007A7479">
        <w:rPr>
          <w:rFonts w:ascii="Arial" w:eastAsia="Times New Roman" w:hAnsi="Arial" w:cs="Arial"/>
          <w:bCs/>
          <w:lang w:eastAsia="en-GB"/>
        </w:rPr>
        <w:t xml:space="preserve"> </w:t>
      </w:r>
    </w:p>
    <w:p w:rsidR="003E0C40" w:rsidRPr="002E12E1" w:rsidRDefault="00354C01" w:rsidP="004135C2">
      <w:pPr>
        <w:pStyle w:val="ListParagraph"/>
        <w:numPr>
          <w:ilvl w:val="0"/>
          <w:numId w:val="1"/>
        </w:numPr>
        <w:spacing w:line="240" w:lineRule="auto"/>
        <w:rPr>
          <w:rFonts w:ascii="Arial" w:hAnsi="Arial" w:cs="Arial"/>
        </w:rPr>
      </w:pPr>
      <w:r w:rsidRPr="002E12E1">
        <w:rPr>
          <w:rFonts w:ascii="Arial" w:eastAsia="Times New Roman" w:hAnsi="Arial" w:cs="Arial"/>
          <w:bCs/>
          <w:lang w:eastAsia="en-GB"/>
        </w:rPr>
        <w:t xml:space="preserve">Band 5 to </w:t>
      </w:r>
      <w:r w:rsidR="007A7479" w:rsidRPr="002E12E1">
        <w:rPr>
          <w:rFonts w:ascii="Arial" w:eastAsia="Times New Roman" w:hAnsi="Arial" w:cs="Arial"/>
          <w:bCs/>
          <w:lang w:eastAsia="en-GB"/>
        </w:rPr>
        <w:t>6</w:t>
      </w:r>
      <w:r w:rsidRPr="002E12E1">
        <w:rPr>
          <w:rFonts w:ascii="Arial" w:eastAsia="Times New Roman" w:hAnsi="Arial" w:cs="Arial"/>
          <w:bCs/>
          <w:lang w:eastAsia="en-GB"/>
        </w:rPr>
        <w:t xml:space="preserve"> where females </w:t>
      </w:r>
      <w:r w:rsidR="002E12E1" w:rsidRPr="002E12E1">
        <w:rPr>
          <w:rFonts w:ascii="Arial" w:eastAsia="Times New Roman" w:hAnsi="Arial" w:cs="Arial"/>
          <w:bCs/>
          <w:lang w:eastAsia="en-GB"/>
        </w:rPr>
        <w:t>are</w:t>
      </w:r>
      <w:r w:rsidRPr="002E12E1">
        <w:rPr>
          <w:rFonts w:ascii="Arial" w:eastAsia="Times New Roman" w:hAnsi="Arial" w:cs="Arial"/>
          <w:bCs/>
          <w:lang w:eastAsia="en-GB"/>
        </w:rPr>
        <w:t xml:space="preserve"> </w:t>
      </w:r>
      <w:r w:rsidR="002E12E1">
        <w:rPr>
          <w:rFonts w:ascii="Arial" w:eastAsia="Times New Roman" w:hAnsi="Arial" w:cs="Arial"/>
          <w:bCs/>
          <w:lang w:eastAsia="en-GB"/>
        </w:rPr>
        <w:t xml:space="preserve">85.9 to </w:t>
      </w:r>
      <w:r w:rsidR="007A7479" w:rsidRPr="002E12E1">
        <w:rPr>
          <w:rFonts w:ascii="Arial" w:eastAsia="Times New Roman" w:hAnsi="Arial" w:cs="Arial"/>
          <w:bCs/>
          <w:lang w:eastAsia="en-GB"/>
        </w:rPr>
        <w:t xml:space="preserve">87.3% </w:t>
      </w:r>
      <w:r w:rsidRPr="002E12E1">
        <w:rPr>
          <w:rFonts w:ascii="Arial" w:eastAsia="Times New Roman" w:hAnsi="Arial" w:cs="Arial"/>
          <w:bCs/>
          <w:lang w:eastAsia="en-GB"/>
        </w:rPr>
        <w:t>of the band</w:t>
      </w:r>
      <w:r w:rsidR="00346B4A" w:rsidRPr="002E12E1">
        <w:rPr>
          <w:rFonts w:ascii="Arial" w:eastAsia="Times New Roman" w:hAnsi="Arial" w:cs="Arial"/>
          <w:bCs/>
          <w:lang w:eastAsia="en-GB"/>
        </w:rPr>
        <w:t xml:space="preserve">s </w:t>
      </w:r>
      <w:r w:rsidR="002E12E1">
        <w:rPr>
          <w:rFonts w:ascii="Arial" w:eastAsia="Times New Roman" w:hAnsi="Arial" w:cs="Arial"/>
          <w:bCs/>
          <w:lang w:eastAsia="en-GB"/>
        </w:rPr>
        <w:t xml:space="preserve">(of 2140 staff) </w:t>
      </w:r>
      <w:r w:rsidR="00346B4A" w:rsidRPr="002E12E1">
        <w:rPr>
          <w:rFonts w:ascii="Arial" w:eastAsia="Times New Roman" w:hAnsi="Arial" w:cs="Arial"/>
          <w:bCs/>
          <w:lang w:eastAsia="en-GB"/>
        </w:rPr>
        <w:t xml:space="preserve">and </w:t>
      </w:r>
      <w:r w:rsidR="002E12E1" w:rsidRPr="002E12E1">
        <w:rPr>
          <w:rFonts w:ascii="Arial" w:eastAsia="Times New Roman" w:hAnsi="Arial" w:cs="Arial"/>
          <w:bCs/>
          <w:lang w:eastAsia="en-GB"/>
        </w:rPr>
        <w:t xml:space="preserve">26% </w:t>
      </w:r>
      <w:r w:rsidR="00346B4A" w:rsidRPr="002E12E1">
        <w:rPr>
          <w:rFonts w:ascii="Arial" w:eastAsia="Times New Roman" w:hAnsi="Arial" w:cs="Arial"/>
          <w:bCs/>
          <w:lang w:eastAsia="en-GB"/>
        </w:rPr>
        <w:t xml:space="preserve">of the work force </w:t>
      </w:r>
      <w:r w:rsidR="007A7479" w:rsidRPr="002E12E1">
        <w:rPr>
          <w:rFonts w:ascii="Arial" w:eastAsia="Times New Roman" w:hAnsi="Arial" w:cs="Arial"/>
          <w:bCs/>
          <w:lang w:eastAsia="en-GB"/>
        </w:rPr>
        <w:t>can</w:t>
      </w:r>
      <w:r w:rsidR="003E0C40" w:rsidRPr="002E12E1">
        <w:rPr>
          <w:rFonts w:ascii="Arial" w:eastAsia="Times New Roman" w:hAnsi="Arial" w:cs="Arial"/>
          <w:bCs/>
          <w:lang w:eastAsia="en-GB"/>
        </w:rPr>
        <w:t xml:space="preserve"> earn</w:t>
      </w:r>
      <w:r w:rsidRPr="002E12E1">
        <w:rPr>
          <w:rFonts w:ascii="Arial" w:eastAsia="Times New Roman" w:hAnsi="Arial" w:cs="Arial"/>
          <w:bCs/>
          <w:lang w:eastAsia="en-GB"/>
        </w:rPr>
        <w:t xml:space="preserve"> more an hour </w:t>
      </w:r>
      <w:r w:rsidR="003E0C40" w:rsidRPr="002E12E1">
        <w:rPr>
          <w:rFonts w:ascii="Arial" w:eastAsia="Times New Roman" w:hAnsi="Arial" w:cs="Arial"/>
          <w:bCs/>
          <w:lang w:eastAsia="en-GB"/>
        </w:rPr>
        <w:t>by</w:t>
      </w:r>
      <w:r w:rsidRPr="002E12E1">
        <w:rPr>
          <w:rFonts w:ascii="Arial" w:eastAsia="Times New Roman" w:hAnsi="Arial" w:cs="Arial"/>
          <w:bCs/>
          <w:lang w:eastAsia="en-GB"/>
        </w:rPr>
        <w:t xml:space="preserve"> </w:t>
      </w:r>
      <w:r w:rsidR="007A7479" w:rsidRPr="002E12E1">
        <w:rPr>
          <w:rFonts w:ascii="Arial" w:eastAsia="Times New Roman" w:hAnsi="Arial" w:cs="Arial"/>
          <w:bCs/>
          <w:lang w:eastAsia="en-GB"/>
        </w:rPr>
        <w:t xml:space="preserve">59 to 88p which is up </w:t>
      </w:r>
      <w:r w:rsidR="002E12E1">
        <w:rPr>
          <w:rFonts w:ascii="Arial" w:eastAsia="Times New Roman" w:hAnsi="Arial" w:cs="Arial"/>
          <w:bCs/>
          <w:lang w:eastAsia="en-GB"/>
        </w:rPr>
        <w:t xml:space="preserve">from </w:t>
      </w:r>
      <w:r w:rsidRPr="002E12E1">
        <w:rPr>
          <w:rFonts w:ascii="Arial" w:eastAsia="Times New Roman" w:hAnsi="Arial" w:cs="Arial"/>
          <w:bCs/>
          <w:lang w:eastAsia="en-GB"/>
        </w:rPr>
        <w:t>27 to 41</w:t>
      </w:r>
      <w:r w:rsidR="002E12E1" w:rsidRPr="002E12E1">
        <w:rPr>
          <w:rFonts w:ascii="Arial" w:eastAsia="Times New Roman" w:hAnsi="Arial" w:cs="Arial"/>
          <w:bCs/>
          <w:lang w:eastAsia="en-GB"/>
        </w:rPr>
        <w:t xml:space="preserve">p </w:t>
      </w:r>
      <w:r w:rsidR="007A7479" w:rsidRPr="002E12E1">
        <w:rPr>
          <w:rFonts w:ascii="Arial" w:eastAsia="Times New Roman" w:hAnsi="Arial" w:cs="Arial"/>
          <w:bCs/>
          <w:lang w:eastAsia="en-GB"/>
        </w:rPr>
        <w:t>at year end 2021</w:t>
      </w:r>
      <w:r w:rsidRPr="002E12E1">
        <w:rPr>
          <w:rFonts w:ascii="Arial" w:eastAsia="Times New Roman" w:hAnsi="Arial" w:cs="Arial"/>
          <w:bCs/>
          <w:lang w:eastAsia="en-GB"/>
        </w:rPr>
        <w:t xml:space="preserve">. </w:t>
      </w:r>
    </w:p>
    <w:p w:rsidR="00CE1531" w:rsidRPr="00EE4877" w:rsidRDefault="00CE1531" w:rsidP="00BF4DE8">
      <w:pPr>
        <w:pStyle w:val="ListParagraph"/>
        <w:spacing w:line="240" w:lineRule="auto"/>
        <w:ind w:left="644"/>
        <w:rPr>
          <w:rFonts w:ascii="Arial" w:hAnsi="Arial" w:cs="Arial"/>
          <w:color w:val="FF0000"/>
        </w:rPr>
      </w:pPr>
      <w:r w:rsidRPr="00EE4877">
        <w:rPr>
          <w:rFonts w:ascii="Arial" w:eastAsia="Times New Roman" w:hAnsi="Arial" w:cs="Arial"/>
          <w:bCs/>
          <w:color w:val="FF0000"/>
          <w:lang w:eastAsia="en-GB"/>
        </w:rPr>
        <w:t xml:space="preserve"> </w:t>
      </w:r>
    </w:p>
    <w:p w:rsidR="0058743A" w:rsidRPr="00464C8A" w:rsidRDefault="00354C01" w:rsidP="004135C2">
      <w:pPr>
        <w:pStyle w:val="ListParagraph"/>
        <w:numPr>
          <w:ilvl w:val="0"/>
          <w:numId w:val="1"/>
        </w:numPr>
        <w:spacing w:line="240" w:lineRule="auto"/>
        <w:rPr>
          <w:rFonts w:ascii="Arial" w:hAnsi="Arial" w:cs="Arial"/>
        </w:rPr>
      </w:pPr>
      <w:r w:rsidRPr="002E12E1">
        <w:rPr>
          <w:rFonts w:ascii="Arial" w:eastAsia="Times New Roman" w:hAnsi="Arial" w:cs="Arial"/>
          <w:bCs/>
          <w:lang w:eastAsia="en-GB"/>
        </w:rPr>
        <w:t xml:space="preserve">Bands 9 and Ad-hoc, </w:t>
      </w:r>
      <w:r w:rsidR="00346B4A" w:rsidRPr="002E12E1">
        <w:rPr>
          <w:rFonts w:ascii="Arial" w:eastAsia="Times New Roman" w:hAnsi="Arial" w:cs="Arial"/>
          <w:bCs/>
          <w:lang w:eastAsia="en-GB"/>
        </w:rPr>
        <w:t xml:space="preserve">which are </w:t>
      </w:r>
      <w:r w:rsidR="002E12E1">
        <w:rPr>
          <w:rFonts w:ascii="Arial" w:eastAsia="Times New Roman" w:hAnsi="Arial" w:cs="Arial"/>
          <w:bCs/>
          <w:lang w:eastAsia="en-GB"/>
        </w:rPr>
        <w:t xml:space="preserve">generally </w:t>
      </w:r>
      <w:r w:rsidR="00346B4A" w:rsidRPr="002E12E1">
        <w:rPr>
          <w:rFonts w:ascii="Arial" w:eastAsia="Times New Roman" w:hAnsi="Arial" w:cs="Arial"/>
          <w:bCs/>
          <w:lang w:eastAsia="en-GB"/>
        </w:rPr>
        <w:t xml:space="preserve">VSM levels </w:t>
      </w:r>
      <w:r w:rsidR="002E12E1">
        <w:rPr>
          <w:rFonts w:ascii="Arial" w:eastAsia="Times New Roman" w:hAnsi="Arial" w:cs="Arial"/>
          <w:bCs/>
          <w:lang w:eastAsia="en-GB"/>
        </w:rPr>
        <w:t xml:space="preserve">with 17 and 19 staff respectively, have a female ratio of 63.6% and 40% have females </w:t>
      </w:r>
      <w:r w:rsidR="00346B4A" w:rsidRPr="002E12E1">
        <w:rPr>
          <w:rFonts w:ascii="Arial" w:eastAsia="Times New Roman" w:hAnsi="Arial" w:cs="Arial"/>
          <w:bCs/>
          <w:lang w:eastAsia="en-GB"/>
        </w:rPr>
        <w:t>earn</w:t>
      </w:r>
      <w:r w:rsidR="002E12E1">
        <w:rPr>
          <w:rFonts w:ascii="Arial" w:eastAsia="Times New Roman" w:hAnsi="Arial" w:cs="Arial"/>
          <w:bCs/>
          <w:lang w:eastAsia="en-GB"/>
        </w:rPr>
        <w:t>ing</w:t>
      </w:r>
      <w:r w:rsidR="00346B4A" w:rsidRPr="002E12E1">
        <w:rPr>
          <w:rFonts w:ascii="Arial" w:eastAsia="Times New Roman" w:hAnsi="Arial" w:cs="Arial"/>
          <w:bCs/>
          <w:lang w:eastAsia="en-GB"/>
        </w:rPr>
        <w:t xml:space="preserve"> £</w:t>
      </w:r>
      <w:r w:rsidR="002E12E1">
        <w:rPr>
          <w:rFonts w:ascii="Arial" w:eastAsia="Times New Roman" w:hAnsi="Arial" w:cs="Arial"/>
          <w:bCs/>
          <w:lang w:eastAsia="en-GB"/>
        </w:rPr>
        <w:t>7.49 and £15.81 an hour more than male. (The ad-hoc figure needs to be checked for any non VSM ad-hoc</w:t>
      </w:r>
      <w:r w:rsidR="00346B4A" w:rsidRPr="002E12E1">
        <w:rPr>
          <w:rFonts w:ascii="Arial" w:eastAsia="Times New Roman" w:hAnsi="Arial" w:cs="Arial"/>
          <w:bCs/>
          <w:lang w:eastAsia="en-GB"/>
        </w:rPr>
        <w:t xml:space="preserve"> </w:t>
      </w:r>
    </w:p>
    <w:p w:rsidR="00464C8A" w:rsidRPr="00464C8A" w:rsidRDefault="00464C8A" w:rsidP="00464C8A">
      <w:pPr>
        <w:spacing w:after="0"/>
        <w:rPr>
          <w:rFonts w:ascii="Arial" w:eastAsia="Times New Roman" w:hAnsi="Arial" w:cs="Arial"/>
          <w:b/>
          <w:bCs/>
          <w:lang w:eastAsia="en-GB"/>
        </w:rPr>
      </w:pPr>
      <w:r w:rsidRPr="00464C8A">
        <w:rPr>
          <w:rFonts w:ascii="Arial" w:eastAsia="Times New Roman" w:hAnsi="Arial" w:cs="Arial"/>
          <w:b/>
          <w:bCs/>
          <w:lang w:eastAsia="en-GB"/>
        </w:rPr>
        <w:t>BHFT - Average Hourly Rates and pay gap by Pay Band - YE March 31st 202</w:t>
      </w:r>
      <w:r>
        <w:rPr>
          <w:rFonts w:ascii="Arial" w:eastAsia="Times New Roman" w:hAnsi="Arial" w:cs="Arial"/>
          <w:b/>
          <w:bCs/>
          <w:lang w:eastAsia="en-GB"/>
        </w:rPr>
        <w:t>2</w:t>
      </w:r>
    </w:p>
    <w:tbl>
      <w:tblPr>
        <w:tblW w:w="9220" w:type="dxa"/>
        <w:tblLook w:val="04A0" w:firstRow="1" w:lastRow="0" w:firstColumn="1" w:lastColumn="0" w:noHBand="0" w:noVBand="1"/>
      </w:tblPr>
      <w:tblGrid>
        <w:gridCol w:w="1210"/>
        <w:gridCol w:w="834"/>
        <w:gridCol w:w="881"/>
        <w:gridCol w:w="740"/>
        <w:gridCol w:w="990"/>
        <w:gridCol w:w="986"/>
        <w:gridCol w:w="1022"/>
        <w:gridCol w:w="987"/>
        <w:gridCol w:w="721"/>
        <w:gridCol w:w="849"/>
      </w:tblGrid>
      <w:tr w:rsidR="007A7479" w:rsidRPr="007A7479" w:rsidTr="007A7479">
        <w:trPr>
          <w:trHeight w:val="1147"/>
        </w:trPr>
        <w:tc>
          <w:tcPr>
            <w:tcW w:w="1210" w:type="dxa"/>
            <w:tcBorders>
              <w:top w:val="single" w:sz="4" w:space="0" w:color="auto"/>
              <w:left w:val="single" w:sz="4" w:space="0" w:color="auto"/>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Average Hourly Rates By Pay Band</w:t>
            </w:r>
          </w:p>
        </w:tc>
        <w:tc>
          <w:tcPr>
            <w:tcW w:w="834" w:type="dxa"/>
            <w:tcBorders>
              <w:top w:val="single" w:sz="4" w:space="0" w:color="auto"/>
              <w:left w:val="nil"/>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Avg. Hourly Rate</w:t>
            </w:r>
          </w:p>
        </w:tc>
        <w:tc>
          <w:tcPr>
            <w:tcW w:w="881" w:type="dxa"/>
            <w:tcBorders>
              <w:top w:val="single" w:sz="4" w:space="0" w:color="auto"/>
              <w:left w:val="nil"/>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Female count</w:t>
            </w:r>
          </w:p>
        </w:tc>
        <w:tc>
          <w:tcPr>
            <w:tcW w:w="740" w:type="dxa"/>
            <w:tcBorders>
              <w:top w:val="single" w:sz="4" w:space="0" w:color="auto"/>
              <w:left w:val="nil"/>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Male count</w:t>
            </w:r>
          </w:p>
        </w:tc>
        <w:tc>
          <w:tcPr>
            <w:tcW w:w="990" w:type="dxa"/>
            <w:tcBorders>
              <w:top w:val="single" w:sz="4" w:space="0" w:color="auto"/>
              <w:left w:val="nil"/>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Female - Hourly Rate</w:t>
            </w:r>
          </w:p>
        </w:tc>
        <w:tc>
          <w:tcPr>
            <w:tcW w:w="986" w:type="dxa"/>
            <w:tcBorders>
              <w:top w:val="single" w:sz="4" w:space="0" w:color="auto"/>
              <w:left w:val="nil"/>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Male - Hourly Rate</w:t>
            </w:r>
          </w:p>
        </w:tc>
        <w:tc>
          <w:tcPr>
            <w:tcW w:w="1022" w:type="dxa"/>
            <w:tcBorders>
              <w:top w:val="single" w:sz="4" w:space="0" w:color="auto"/>
              <w:left w:val="nil"/>
              <w:bottom w:val="single" w:sz="4" w:space="0" w:color="auto"/>
              <w:right w:val="single" w:sz="4" w:space="0" w:color="auto"/>
            </w:tcBorders>
            <w:shd w:val="clear" w:color="000000" w:fill="95B3D7"/>
            <w:hideMark/>
          </w:tcPr>
          <w:p w:rsid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Differ</w:t>
            </w:r>
          </w:p>
          <w:p w:rsidR="007A7479" w:rsidRPr="007A7479" w:rsidRDefault="007A7479" w:rsidP="007A7479">
            <w:pPr>
              <w:spacing w:after="0" w:line="240" w:lineRule="auto"/>
              <w:rPr>
                <w:rFonts w:ascii="Calibri" w:eastAsia="Times New Roman" w:hAnsi="Calibri" w:cs="Calibri"/>
                <w:b/>
                <w:bCs/>
                <w:lang w:eastAsia="en-GB"/>
              </w:rPr>
            </w:pPr>
            <w:r>
              <w:rPr>
                <w:rFonts w:ascii="Calibri" w:eastAsia="Times New Roman" w:hAnsi="Calibri" w:cs="Calibri"/>
                <w:b/>
                <w:bCs/>
                <w:lang w:eastAsia="en-GB"/>
              </w:rPr>
              <w:t>-</w:t>
            </w:r>
            <w:r w:rsidRPr="007A7479">
              <w:rPr>
                <w:rFonts w:ascii="Calibri" w:eastAsia="Times New Roman" w:hAnsi="Calibri" w:cs="Calibri"/>
                <w:b/>
                <w:bCs/>
                <w:lang w:eastAsia="en-GB"/>
              </w:rPr>
              <w:t>ence</w:t>
            </w:r>
          </w:p>
        </w:tc>
        <w:tc>
          <w:tcPr>
            <w:tcW w:w="987" w:type="dxa"/>
            <w:tcBorders>
              <w:top w:val="single" w:sz="4" w:space="0" w:color="auto"/>
              <w:left w:val="nil"/>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Gap</w:t>
            </w:r>
          </w:p>
        </w:tc>
        <w:tc>
          <w:tcPr>
            <w:tcW w:w="721" w:type="dxa"/>
            <w:tcBorders>
              <w:top w:val="nil"/>
              <w:left w:val="nil"/>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 xml:space="preserve">Total staff in band </w:t>
            </w:r>
          </w:p>
        </w:tc>
        <w:tc>
          <w:tcPr>
            <w:tcW w:w="849" w:type="dxa"/>
            <w:tcBorders>
              <w:top w:val="nil"/>
              <w:left w:val="nil"/>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 xml:space="preserve">% female in band </w:t>
            </w:r>
          </w:p>
        </w:tc>
      </w:tr>
      <w:tr w:rsidR="007A7479" w:rsidRPr="007A7479" w:rsidTr="007A7479">
        <w:trPr>
          <w:trHeight w:val="287"/>
        </w:trPr>
        <w:tc>
          <w:tcPr>
            <w:tcW w:w="1210" w:type="dxa"/>
            <w:tcBorders>
              <w:top w:val="nil"/>
              <w:left w:val="single" w:sz="4" w:space="0" w:color="auto"/>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Band 1</w:t>
            </w:r>
          </w:p>
        </w:tc>
        <w:tc>
          <w:tcPr>
            <w:tcW w:w="834"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£10.63</w:t>
            </w:r>
          </w:p>
        </w:tc>
        <w:tc>
          <w:tcPr>
            <w:tcW w:w="881"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0</w:t>
            </w:r>
          </w:p>
        </w:tc>
        <w:tc>
          <w:tcPr>
            <w:tcW w:w="740"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4</w:t>
            </w:r>
          </w:p>
        </w:tc>
        <w:tc>
          <w:tcPr>
            <w:tcW w:w="990"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£0.00</w:t>
            </w:r>
          </w:p>
        </w:tc>
        <w:tc>
          <w:tcPr>
            <w:tcW w:w="986"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£10.63</w:t>
            </w:r>
          </w:p>
        </w:tc>
        <w:tc>
          <w:tcPr>
            <w:tcW w:w="1022"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£10.63</w:t>
            </w:r>
          </w:p>
        </w:tc>
        <w:tc>
          <w:tcPr>
            <w:tcW w:w="987"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100.00%</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4</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0.0%</w:t>
            </w:r>
          </w:p>
        </w:tc>
      </w:tr>
      <w:tr w:rsidR="007A7479" w:rsidRPr="007A7479" w:rsidTr="007A7479">
        <w:trPr>
          <w:trHeight w:val="287"/>
        </w:trPr>
        <w:tc>
          <w:tcPr>
            <w:tcW w:w="1210" w:type="dxa"/>
            <w:tcBorders>
              <w:top w:val="nil"/>
              <w:left w:val="single" w:sz="4" w:space="0" w:color="auto"/>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Band 2</w:t>
            </w:r>
          </w:p>
        </w:tc>
        <w:tc>
          <w:tcPr>
            <w:tcW w:w="834"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£11.73</w:t>
            </w:r>
          </w:p>
        </w:tc>
        <w:tc>
          <w:tcPr>
            <w:tcW w:w="881"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1,348</w:t>
            </w:r>
          </w:p>
        </w:tc>
        <w:tc>
          <w:tcPr>
            <w:tcW w:w="740"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352</w:t>
            </w:r>
          </w:p>
        </w:tc>
        <w:tc>
          <w:tcPr>
            <w:tcW w:w="990"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£11.64</w:t>
            </w:r>
          </w:p>
        </w:tc>
        <w:tc>
          <w:tcPr>
            <w:tcW w:w="986"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£12.04</w:t>
            </w:r>
          </w:p>
        </w:tc>
        <w:tc>
          <w:tcPr>
            <w:tcW w:w="1022"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£0.39</w:t>
            </w:r>
          </w:p>
        </w:tc>
        <w:tc>
          <w:tcPr>
            <w:tcW w:w="987"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3.28%</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1,700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79.3%</w:t>
            </w:r>
          </w:p>
        </w:tc>
      </w:tr>
      <w:tr w:rsidR="007A7479" w:rsidRPr="007A7479" w:rsidTr="007A7479">
        <w:trPr>
          <w:trHeight w:val="400"/>
        </w:trPr>
        <w:tc>
          <w:tcPr>
            <w:tcW w:w="1210" w:type="dxa"/>
            <w:tcBorders>
              <w:top w:val="nil"/>
              <w:left w:val="single" w:sz="4" w:space="0" w:color="auto"/>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Band 3</w:t>
            </w:r>
          </w:p>
        </w:tc>
        <w:tc>
          <w:tcPr>
            <w:tcW w:w="834"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£11.52</w:t>
            </w:r>
          </w:p>
        </w:tc>
        <w:tc>
          <w:tcPr>
            <w:tcW w:w="881"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696</w:t>
            </w:r>
          </w:p>
        </w:tc>
        <w:tc>
          <w:tcPr>
            <w:tcW w:w="740"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112</w:t>
            </w:r>
          </w:p>
        </w:tc>
        <w:tc>
          <w:tcPr>
            <w:tcW w:w="990" w:type="dxa"/>
            <w:tcBorders>
              <w:top w:val="nil"/>
              <w:left w:val="nil"/>
              <w:bottom w:val="single" w:sz="4" w:space="0" w:color="auto"/>
              <w:right w:val="single" w:sz="4" w:space="0" w:color="auto"/>
            </w:tcBorders>
            <w:shd w:val="clear" w:color="000000" w:fill="FFFFFF"/>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£11.52</w:t>
            </w:r>
          </w:p>
        </w:tc>
        <w:tc>
          <w:tcPr>
            <w:tcW w:w="986"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£11.54</w:t>
            </w:r>
          </w:p>
        </w:tc>
        <w:tc>
          <w:tcPr>
            <w:tcW w:w="1022"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£0.02</w:t>
            </w:r>
          </w:p>
        </w:tc>
        <w:tc>
          <w:tcPr>
            <w:tcW w:w="987"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0.20%</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808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86.1%</w:t>
            </w:r>
          </w:p>
        </w:tc>
      </w:tr>
      <w:tr w:rsidR="007A7479" w:rsidRPr="007A7479" w:rsidTr="007A7479">
        <w:trPr>
          <w:trHeight w:val="287"/>
        </w:trPr>
        <w:tc>
          <w:tcPr>
            <w:tcW w:w="1210" w:type="dxa"/>
            <w:tcBorders>
              <w:top w:val="nil"/>
              <w:left w:val="single" w:sz="4" w:space="0" w:color="auto"/>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Band 4</w:t>
            </w:r>
          </w:p>
        </w:tc>
        <w:tc>
          <w:tcPr>
            <w:tcW w:w="834"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£12.47</w:t>
            </w:r>
          </w:p>
        </w:tc>
        <w:tc>
          <w:tcPr>
            <w:tcW w:w="881"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635</w:t>
            </w:r>
          </w:p>
        </w:tc>
        <w:tc>
          <w:tcPr>
            <w:tcW w:w="740"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104</w:t>
            </w:r>
          </w:p>
        </w:tc>
        <w:tc>
          <w:tcPr>
            <w:tcW w:w="990"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£12.47</w:t>
            </w:r>
          </w:p>
        </w:tc>
        <w:tc>
          <w:tcPr>
            <w:tcW w:w="986"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£12.44</w:t>
            </w:r>
          </w:p>
        </w:tc>
        <w:tc>
          <w:tcPr>
            <w:tcW w:w="1022"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-£0.03</w:t>
            </w:r>
          </w:p>
        </w:tc>
        <w:tc>
          <w:tcPr>
            <w:tcW w:w="987"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-0.27%</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739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85.9%</w:t>
            </w:r>
          </w:p>
        </w:tc>
      </w:tr>
      <w:tr w:rsidR="007A7479" w:rsidRPr="007A7479" w:rsidTr="007A7479">
        <w:trPr>
          <w:trHeight w:val="287"/>
        </w:trPr>
        <w:tc>
          <w:tcPr>
            <w:tcW w:w="1210" w:type="dxa"/>
            <w:tcBorders>
              <w:top w:val="nil"/>
              <w:left w:val="single" w:sz="4" w:space="0" w:color="auto"/>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Band 5</w:t>
            </w:r>
          </w:p>
        </w:tc>
        <w:tc>
          <w:tcPr>
            <w:tcW w:w="834"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£15.81</w:t>
            </w:r>
          </w:p>
        </w:tc>
        <w:tc>
          <w:tcPr>
            <w:tcW w:w="881"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1,280</w:t>
            </w:r>
          </w:p>
        </w:tc>
        <w:tc>
          <w:tcPr>
            <w:tcW w:w="740"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187</w:t>
            </w:r>
          </w:p>
        </w:tc>
        <w:tc>
          <w:tcPr>
            <w:tcW w:w="990"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£15.89</w:t>
            </w:r>
          </w:p>
        </w:tc>
        <w:tc>
          <w:tcPr>
            <w:tcW w:w="986" w:type="dxa"/>
            <w:tcBorders>
              <w:top w:val="nil"/>
              <w:left w:val="nil"/>
              <w:bottom w:val="single" w:sz="4" w:space="0" w:color="auto"/>
              <w:right w:val="single" w:sz="4" w:space="0" w:color="auto"/>
            </w:tcBorders>
            <w:shd w:val="clear" w:color="000000" w:fill="FFFFFF"/>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£15.29</w:t>
            </w:r>
          </w:p>
        </w:tc>
        <w:tc>
          <w:tcPr>
            <w:tcW w:w="1022"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-£0.59</w:t>
            </w:r>
          </w:p>
        </w:tc>
        <w:tc>
          <w:tcPr>
            <w:tcW w:w="987"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-3.88%</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1,467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87.3%</w:t>
            </w:r>
          </w:p>
        </w:tc>
      </w:tr>
      <w:tr w:rsidR="007A7479" w:rsidRPr="007A7479" w:rsidTr="007A7479">
        <w:trPr>
          <w:trHeight w:val="287"/>
        </w:trPr>
        <w:tc>
          <w:tcPr>
            <w:tcW w:w="1210" w:type="dxa"/>
            <w:tcBorders>
              <w:top w:val="nil"/>
              <w:left w:val="single" w:sz="4" w:space="0" w:color="auto"/>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Band 6</w:t>
            </w:r>
          </w:p>
        </w:tc>
        <w:tc>
          <w:tcPr>
            <w:tcW w:w="834"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£20.03</w:t>
            </w:r>
          </w:p>
        </w:tc>
        <w:tc>
          <w:tcPr>
            <w:tcW w:w="881"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1,130</w:t>
            </w:r>
          </w:p>
        </w:tc>
        <w:tc>
          <w:tcPr>
            <w:tcW w:w="740"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186</w:t>
            </w:r>
          </w:p>
        </w:tc>
        <w:tc>
          <w:tcPr>
            <w:tcW w:w="990"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£20.16</w:t>
            </w:r>
          </w:p>
        </w:tc>
        <w:tc>
          <w:tcPr>
            <w:tcW w:w="986"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£19.27</w:t>
            </w:r>
          </w:p>
        </w:tc>
        <w:tc>
          <w:tcPr>
            <w:tcW w:w="1022"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-£0.88</w:t>
            </w:r>
          </w:p>
        </w:tc>
        <w:tc>
          <w:tcPr>
            <w:tcW w:w="987"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-4.58%</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1,316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85.9%</w:t>
            </w:r>
          </w:p>
        </w:tc>
      </w:tr>
      <w:tr w:rsidR="007A7479" w:rsidRPr="007A7479" w:rsidTr="007A7479">
        <w:trPr>
          <w:trHeight w:val="287"/>
        </w:trPr>
        <w:tc>
          <w:tcPr>
            <w:tcW w:w="1210" w:type="dxa"/>
            <w:tcBorders>
              <w:top w:val="nil"/>
              <w:left w:val="single" w:sz="4" w:space="0" w:color="auto"/>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Band 7</w:t>
            </w:r>
          </w:p>
        </w:tc>
        <w:tc>
          <w:tcPr>
            <w:tcW w:w="834"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£23.00</w:t>
            </w:r>
          </w:p>
        </w:tc>
        <w:tc>
          <w:tcPr>
            <w:tcW w:w="881"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702</w:t>
            </w:r>
          </w:p>
        </w:tc>
        <w:tc>
          <w:tcPr>
            <w:tcW w:w="740"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136</w:t>
            </w:r>
          </w:p>
        </w:tc>
        <w:tc>
          <w:tcPr>
            <w:tcW w:w="990"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£23.00</w:t>
            </w:r>
          </w:p>
        </w:tc>
        <w:tc>
          <w:tcPr>
            <w:tcW w:w="986"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£22.98</w:t>
            </w:r>
          </w:p>
        </w:tc>
        <w:tc>
          <w:tcPr>
            <w:tcW w:w="1022"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-£0.02</w:t>
            </w:r>
          </w:p>
        </w:tc>
        <w:tc>
          <w:tcPr>
            <w:tcW w:w="987"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-0.07%</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838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83.8%</w:t>
            </w:r>
          </w:p>
        </w:tc>
      </w:tr>
      <w:tr w:rsidR="007A7479" w:rsidRPr="007A7479" w:rsidTr="007A7479">
        <w:trPr>
          <w:trHeight w:val="287"/>
        </w:trPr>
        <w:tc>
          <w:tcPr>
            <w:tcW w:w="1210" w:type="dxa"/>
            <w:tcBorders>
              <w:top w:val="nil"/>
              <w:left w:val="single" w:sz="4" w:space="0" w:color="auto"/>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Band 8a</w:t>
            </w:r>
          </w:p>
        </w:tc>
        <w:tc>
          <w:tcPr>
            <w:tcW w:w="834"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£25.96</w:t>
            </w:r>
          </w:p>
        </w:tc>
        <w:tc>
          <w:tcPr>
            <w:tcW w:w="881"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180</w:t>
            </w:r>
          </w:p>
        </w:tc>
        <w:tc>
          <w:tcPr>
            <w:tcW w:w="740"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68</w:t>
            </w:r>
          </w:p>
        </w:tc>
        <w:tc>
          <w:tcPr>
            <w:tcW w:w="990"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£25.96</w:t>
            </w:r>
          </w:p>
        </w:tc>
        <w:tc>
          <w:tcPr>
            <w:tcW w:w="986"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£25.94</w:t>
            </w:r>
          </w:p>
        </w:tc>
        <w:tc>
          <w:tcPr>
            <w:tcW w:w="1022"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-£0.03</w:t>
            </w:r>
          </w:p>
        </w:tc>
        <w:tc>
          <w:tcPr>
            <w:tcW w:w="987"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-0.11%</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248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72.6%</w:t>
            </w:r>
          </w:p>
        </w:tc>
      </w:tr>
      <w:tr w:rsidR="007A7479" w:rsidRPr="007A7479" w:rsidTr="007A7479">
        <w:trPr>
          <w:trHeight w:val="287"/>
        </w:trPr>
        <w:tc>
          <w:tcPr>
            <w:tcW w:w="1210" w:type="dxa"/>
            <w:tcBorders>
              <w:top w:val="nil"/>
              <w:left w:val="single" w:sz="4" w:space="0" w:color="auto"/>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Band 8b</w:t>
            </w:r>
          </w:p>
        </w:tc>
        <w:tc>
          <w:tcPr>
            <w:tcW w:w="834"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£30.49</w:t>
            </w:r>
          </w:p>
        </w:tc>
        <w:tc>
          <w:tcPr>
            <w:tcW w:w="881"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69</w:t>
            </w:r>
          </w:p>
        </w:tc>
        <w:tc>
          <w:tcPr>
            <w:tcW w:w="740"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16</w:t>
            </w:r>
          </w:p>
        </w:tc>
        <w:tc>
          <w:tcPr>
            <w:tcW w:w="990"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£30.38</w:t>
            </w:r>
          </w:p>
        </w:tc>
        <w:tc>
          <w:tcPr>
            <w:tcW w:w="986"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£30.94</w:t>
            </w:r>
          </w:p>
        </w:tc>
        <w:tc>
          <w:tcPr>
            <w:tcW w:w="1022"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£0.56</w:t>
            </w:r>
          </w:p>
        </w:tc>
        <w:tc>
          <w:tcPr>
            <w:tcW w:w="987"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1.81%</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85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81.2%</w:t>
            </w:r>
          </w:p>
        </w:tc>
      </w:tr>
      <w:tr w:rsidR="007A7479" w:rsidRPr="007A7479" w:rsidTr="007A7479">
        <w:trPr>
          <w:trHeight w:val="287"/>
        </w:trPr>
        <w:tc>
          <w:tcPr>
            <w:tcW w:w="1210" w:type="dxa"/>
            <w:tcBorders>
              <w:top w:val="nil"/>
              <w:left w:val="single" w:sz="4" w:space="0" w:color="auto"/>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Band 8c</w:t>
            </w:r>
          </w:p>
        </w:tc>
        <w:tc>
          <w:tcPr>
            <w:tcW w:w="834"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£36.33</w:t>
            </w:r>
          </w:p>
        </w:tc>
        <w:tc>
          <w:tcPr>
            <w:tcW w:w="881"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23</w:t>
            </w:r>
          </w:p>
        </w:tc>
        <w:tc>
          <w:tcPr>
            <w:tcW w:w="740"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14</w:t>
            </w:r>
          </w:p>
        </w:tc>
        <w:tc>
          <w:tcPr>
            <w:tcW w:w="990" w:type="dxa"/>
            <w:tcBorders>
              <w:top w:val="nil"/>
              <w:left w:val="nil"/>
              <w:bottom w:val="single" w:sz="4" w:space="0" w:color="auto"/>
              <w:right w:val="single" w:sz="4" w:space="0" w:color="auto"/>
            </w:tcBorders>
            <w:shd w:val="clear" w:color="000000" w:fill="FFFFFF"/>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£36.28</w:t>
            </w:r>
          </w:p>
        </w:tc>
        <w:tc>
          <w:tcPr>
            <w:tcW w:w="986"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£36.41</w:t>
            </w:r>
          </w:p>
        </w:tc>
        <w:tc>
          <w:tcPr>
            <w:tcW w:w="1022"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£0.14</w:t>
            </w:r>
          </w:p>
        </w:tc>
        <w:tc>
          <w:tcPr>
            <w:tcW w:w="987"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0.38%</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37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62.2%</w:t>
            </w:r>
          </w:p>
        </w:tc>
      </w:tr>
      <w:tr w:rsidR="007A7479" w:rsidRPr="007A7479" w:rsidTr="007A7479">
        <w:trPr>
          <w:trHeight w:val="287"/>
        </w:trPr>
        <w:tc>
          <w:tcPr>
            <w:tcW w:w="1210" w:type="dxa"/>
            <w:tcBorders>
              <w:top w:val="nil"/>
              <w:left w:val="single" w:sz="4" w:space="0" w:color="auto"/>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Band 8d</w:t>
            </w:r>
          </w:p>
        </w:tc>
        <w:tc>
          <w:tcPr>
            <w:tcW w:w="834"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£44.83</w:t>
            </w:r>
          </w:p>
        </w:tc>
        <w:tc>
          <w:tcPr>
            <w:tcW w:w="881"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13</w:t>
            </w:r>
          </w:p>
        </w:tc>
        <w:tc>
          <w:tcPr>
            <w:tcW w:w="740"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9</w:t>
            </w:r>
          </w:p>
        </w:tc>
        <w:tc>
          <w:tcPr>
            <w:tcW w:w="990"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£44.58</w:t>
            </w:r>
          </w:p>
        </w:tc>
        <w:tc>
          <w:tcPr>
            <w:tcW w:w="986"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£45.19</w:t>
            </w:r>
          </w:p>
        </w:tc>
        <w:tc>
          <w:tcPr>
            <w:tcW w:w="1022"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£0.62</w:t>
            </w:r>
          </w:p>
        </w:tc>
        <w:tc>
          <w:tcPr>
            <w:tcW w:w="987"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1.37%</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22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59.1%</w:t>
            </w:r>
          </w:p>
        </w:tc>
      </w:tr>
      <w:tr w:rsidR="007A7479" w:rsidRPr="007A7479" w:rsidTr="007A7479">
        <w:trPr>
          <w:trHeight w:val="287"/>
        </w:trPr>
        <w:tc>
          <w:tcPr>
            <w:tcW w:w="1210" w:type="dxa"/>
            <w:tcBorders>
              <w:top w:val="nil"/>
              <w:left w:val="single" w:sz="4" w:space="0" w:color="auto"/>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Band 9</w:t>
            </w:r>
          </w:p>
        </w:tc>
        <w:tc>
          <w:tcPr>
            <w:tcW w:w="834"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£54.54</w:t>
            </w:r>
          </w:p>
        </w:tc>
        <w:tc>
          <w:tcPr>
            <w:tcW w:w="881"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7</w:t>
            </w:r>
          </w:p>
        </w:tc>
        <w:tc>
          <w:tcPr>
            <w:tcW w:w="740"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4</w:t>
            </w:r>
          </w:p>
        </w:tc>
        <w:tc>
          <w:tcPr>
            <w:tcW w:w="990"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£57.26</w:t>
            </w:r>
          </w:p>
        </w:tc>
        <w:tc>
          <w:tcPr>
            <w:tcW w:w="986"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£49.77</w:t>
            </w:r>
          </w:p>
        </w:tc>
        <w:tc>
          <w:tcPr>
            <w:tcW w:w="1022"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-£7.49</w:t>
            </w:r>
          </w:p>
        </w:tc>
        <w:tc>
          <w:tcPr>
            <w:tcW w:w="987"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-15.06%</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11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63.6%</w:t>
            </w:r>
          </w:p>
        </w:tc>
      </w:tr>
      <w:tr w:rsidR="007A7479" w:rsidRPr="007A7479" w:rsidTr="007A7479">
        <w:trPr>
          <w:trHeight w:val="287"/>
        </w:trPr>
        <w:tc>
          <w:tcPr>
            <w:tcW w:w="1210" w:type="dxa"/>
            <w:tcBorders>
              <w:top w:val="nil"/>
              <w:left w:val="single" w:sz="4" w:space="0" w:color="auto"/>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Ad-Hoc</w:t>
            </w:r>
          </w:p>
        </w:tc>
        <w:tc>
          <w:tcPr>
            <w:tcW w:w="834"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£54.87</w:t>
            </w:r>
          </w:p>
        </w:tc>
        <w:tc>
          <w:tcPr>
            <w:tcW w:w="881"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10</w:t>
            </w:r>
          </w:p>
        </w:tc>
        <w:tc>
          <w:tcPr>
            <w:tcW w:w="740"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15</w:t>
            </w:r>
          </w:p>
        </w:tc>
        <w:tc>
          <w:tcPr>
            <w:tcW w:w="990"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£64.36</w:t>
            </w:r>
          </w:p>
        </w:tc>
        <w:tc>
          <w:tcPr>
            <w:tcW w:w="986" w:type="dxa"/>
            <w:tcBorders>
              <w:top w:val="nil"/>
              <w:left w:val="nil"/>
              <w:bottom w:val="single" w:sz="4" w:space="0" w:color="auto"/>
              <w:right w:val="single" w:sz="4" w:space="0" w:color="auto"/>
            </w:tcBorders>
            <w:shd w:val="clear" w:color="000000" w:fill="FFFFFF"/>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£48.55</w:t>
            </w:r>
          </w:p>
        </w:tc>
        <w:tc>
          <w:tcPr>
            <w:tcW w:w="1022"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-£15.81</w:t>
            </w:r>
          </w:p>
        </w:tc>
        <w:tc>
          <w:tcPr>
            <w:tcW w:w="987"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-32.56%</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25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40.0%</w:t>
            </w:r>
          </w:p>
        </w:tc>
      </w:tr>
      <w:tr w:rsidR="007A7479" w:rsidRPr="007A7479" w:rsidTr="007A7479">
        <w:trPr>
          <w:trHeight w:val="314"/>
        </w:trPr>
        <w:tc>
          <w:tcPr>
            <w:tcW w:w="1210" w:type="dxa"/>
            <w:tcBorders>
              <w:top w:val="nil"/>
              <w:left w:val="single" w:sz="4" w:space="0" w:color="auto"/>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Consultant</w:t>
            </w:r>
          </w:p>
        </w:tc>
        <w:tc>
          <w:tcPr>
            <w:tcW w:w="834"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£50.92</w:t>
            </w:r>
          </w:p>
        </w:tc>
        <w:tc>
          <w:tcPr>
            <w:tcW w:w="881"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180</w:t>
            </w:r>
          </w:p>
        </w:tc>
        <w:tc>
          <w:tcPr>
            <w:tcW w:w="740"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279</w:t>
            </w:r>
          </w:p>
        </w:tc>
        <w:tc>
          <w:tcPr>
            <w:tcW w:w="990"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£49.31</w:t>
            </w:r>
          </w:p>
        </w:tc>
        <w:tc>
          <w:tcPr>
            <w:tcW w:w="986"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£51.96</w:t>
            </w:r>
          </w:p>
        </w:tc>
        <w:tc>
          <w:tcPr>
            <w:tcW w:w="1022"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£2.65</w:t>
            </w:r>
          </w:p>
        </w:tc>
        <w:tc>
          <w:tcPr>
            <w:tcW w:w="987"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5.10%</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459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39.2%</w:t>
            </w:r>
          </w:p>
        </w:tc>
      </w:tr>
      <w:tr w:rsidR="007A7479" w:rsidRPr="007A7479" w:rsidTr="007A7479">
        <w:trPr>
          <w:trHeight w:val="287"/>
        </w:trPr>
        <w:tc>
          <w:tcPr>
            <w:tcW w:w="1210" w:type="dxa"/>
            <w:tcBorders>
              <w:top w:val="nil"/>
              <w:left w:val="single" w:sz="4" w:space="0" w:color="auto"/>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Junior</w:t>
            </w:r>
          </w:p>
        </w:tc>
        <w:tc>
          <w:tcPr>
            <w:tcW w:w="834"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£25.54</w:t>
            </w:r>
          </w:p>
        </w:tc>
        <w:tc>
          <w:tcPr>
            <w:tcW w:w="881"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245</w:t>
            </w:r>
          </w:p>
        </w:tc>
        <w:tc>
          <w:tcPr>
            <w:tcW w:w="740"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273</w:t>
            </w:r>
          </w:p>
        </w:tc>
        <w:tc>
          <w:tcPr>
            <w:tcW w:w="990"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£24.64</w:t>
            </w:r>
          </w:p>
        </w:tc>
        <w:tc>
          <w:tcPr>
            <w:tcW w:w="986"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£26.36</w:t>
            </w:r>
          </w:p>
        </w:tc>
        <w:tc>
          <w:tcPr>
            <w:tcW w:w="1022"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£1.72</w:t>
            </w:r>
          </w:p>
        </w:tc>
        <w:tc>
          <w:tcPr>
            <w:tcW w:w="987"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6.54%</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518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47.3%</w:t>
            </w:r>
          </w:p>
        </w:tc>
      </w:tr>
      <w:tr w:rsidR="007A7479" w:rsidRPr="007A7479" w:rsidTr="007A7479">
        <w:trPr>
          <w:trHeight w:val="287"/>
        </w:trPr>
        <w:tc>
          <w:tcPr>
            <w:tcW w:w="1210" w:type="dxa"/>
            <w:tcBorders>
              <w:top w:val="nil"/>
              <w:left w:val="single" w:sz="4" w:space="0" w:color="auto"/>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Middle</w:t>
            </w:r>
          </w:p>
        </w:tc>
        <w:tc>
          <w:tcPr>
            <w:tcW w:w="834"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£34.31</w:t>
            </w:r>
          </w:p>
        </w:tc>
        <w:tc>
          <w:tcPr>
            <w:tcW w:w="881"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38</w:t>
            </w:r>
          </w:p>
        </w:tc>
        <w:tc>
          <w:tcPr>
            <w:tcW w:w="740" w:type="dxa"/>
            <w:tcBorders>
              <w:top w:val="nil"/>
              <w:left w:val="nil"/>
              <w:bottom w:val="single" w:sz="4" w:space="0" w:color="auto"/>
              <w:right w:val="single" w:sz="4" w:space="0" w:color="auto"/>
            </w:tcBorders>
            <w:shd w:val="clear" w:color="000000" w:fill="FFFFFF"/>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60</w:t>
            </w:r>
          </w:p>
        </w:tc>
        <w:tc>
          <w:tcPr>
            <w:tcW w:w="990"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£33.61</w:t>
            </w:r>
          </w:p>
        </w:tc>
        <w:tc>
          <w:tcPr>
            <w:tcW w:w="986"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£34.76</w:t>
            </w:r>
          </w:p>
        </w:tc>
        <w:tc>
          <w:tcPr>
            <w:tcW w:w="1022"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£1.14</w:t>
            </w:r>
          </w:p>
        </w:tc>
        <w:tc>
          <w:tcPr>
            <w:tcW w:w="987" w:type="dxa"/>
            <w:tcBorders>
              <w:top w:val="nil"/>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center"/>
              <w:rPr>
                <w:rFonts w:ascii="Calibri" w:eastAsia="Times New Roman" w:hAnsi="Calibri" w:cs="Calibri"/>
                <w:lang w:eastAsia="en-GB"/>
              </w:rPr>
            </w:pPr>
            <w:r w:rsidRPr="007A7479">
              <w:rPr>
                <w:rFonts w:ascii="Calibri" w:eastAsia="Times New Roman" w:hAnsi="Calibri" w:cs="Calibri"/>
                <w:lang w:eastAsia="en-GB"/>
              </w:rPr>
              <w:t>3.29%</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98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479" w:rsidRPr="007A7479" w:rsidRDefault="007A7479" w:rsidP="007A7479">
            <w:pPr>
              <w:spacing w:after="0" w:line="240" w:lineRule="auto"/>
              <w:jc w:val="right"/>
              <w:rPr>
                <w:rFonts w:ascii="Calibri" w:eastAsia="Times New Roman" w:hAnsi="Calibri" w:cs="Calibri"/>
                <w:color w:val="000000"/>
                <w:lang w:eastAsia="en-GB"/>
              </w:rPr>
            </w:pPr>
            <w:r w:rsidRPr="007A7479">
              <w:rPr>
                <w:rFonts w:ascii="Calibri" w:eastAsia="Times New Roman" w:hAnsi="Calibri" w:cs="Calibri"/>
                <w:color w:val="000000"/>
                <w:lang w:eastAsia="en-GB"/>
              </w:rPr>
              <w:t>38.8%</w:t>
            </w:r>
          </w:p>
        </w:tc>
      </w:tr>
      <w:tr w:rsidR="007A7479" w:rsidRPr="007A7479" w:rsidTr="007A7479">
        <w:trPr>
          <w:trHeight w:val="287"/>
        </w:trPr>
        <w:tc>
          <w:tcPr>
            <w:tcW w:w="1210" w:type="dxa"/>
            <w:tcBorders>
              <w:top w:val="nil"/>
              <w:left w:val="single" w:sz="4" w:space="0" w:color="auto"/>
              <w:bottom w:val="single" w:sz="4" w:space="0" w:color="auto"/>
              <w:right w:val="single" w:sz="4" w:space="0" w:color="auto"/>
            </w:tcBorders>
            <w:shd w:val="clear" w:color="000000" w:fill="95B3D7"/>
            <w:hideMark/>
          </w:tcPr>
          <w:p w:rsidR="007A7479" w:rsidRPr="007A7479" w:rsidRDefault="007A7479" w:rsidP="007A7479">
            <w:pPr>
              <w:spacing w:after="0" w:line="240" w:lineRule="auto"/>
              <w:rPr>
                <w:rFonts w:ascii="Calibri" w:eastAsia="Times New Roman" w:hAnsi="Calibri" w:cs="Calibri"/>
                <w:b/>
                <w:bCs/>
                <w:lang w:eastAsia="en-GB"/>
              </w:rPr>
            </w:pPr>
            <w:r w:rsidRPr="007A7479">
              <w:rPr>
                <w:rFonts w:ascii="Calibri" w:eastAsia="Times New Roman" w:hAnsi="Calibri" w:cs="Calibri"/>
                <w:b/>
                <w:bCs/>
                <w:lang w:eastAsia="en-GB"/>
              </w:rPr>
              <w:t>Grand Total</w:t>
            </w:r>
          </w:p>
        </w:tc>
        <w:tc>
          <w:tcPr>
            <w:tcW w:w="834" w:type="dxa"/>
            <w:tcBorders>
              <w:top w:val="nil"/>
              <w:left w:val="nil"/>
              <w:bottom w:val="single" w:sz="4" w:space="0" w:color="auto"/>
              <w:right w:val="single" w:sz="4" w:space="0" w:color="auto"/>
            </w:tcBorders>
            <w:shd w:val="clear" w:color="000000" w:fill="95B3D7"/>
            <w:vAlign w:val="center"/>
            <w:hideMark/>
          </w:tcPr>
          <w:p w:rsidR="007A7479" w:rsidRPr="007A7479" w:rsidRDefault="007A7479" w:rsidP="007A7479">
            <w:pPr>
              <w:spacing w:after="0" w:line="240" w:lineRule="auto"/>
              <w:jc w:val="center"/>
              <w:rPr>
                <w:rFonts w:ascii="Calibri" w:eastAsia="Times New Roman" w:hAnsi="Calibri" w:cs="Calibri"/>
                <w:b/>
                <w:bCs/>
                <w:lang w:eastAsia="en-GB"/>
              </w:rPr>
            </w:pPr>
            <w:r w:rsidRPr="007A7479">
              <w:rPr>
                <w:rFonts w:ascii="Calibri" w:eastAsia="Times New Roman" w:hAnsi="Calibri" w:cs="Calibri"/>
                <w:b/>
                <w:bCs/>
                <w:lang w:eastAsia="en-GB"/>
              </w:rPr>
              <w:t>£19.18</w:t>
            </w:r>
          </w:p>
        </w:tc>
        <w:tc>
          <w:tcPr>
            <w:tcW w:w="881" w:type="dxa"/>
            <w:tcBorders>
              <w:top w:val="nil"/>
              <w:left w:val="nil"/>
              <w:bottom w:val="single" w:sz="4" w:space="0" w:color="auto"/>
              <w:right w:val="single" w:sz="4" w:space="0" w:color="auto"/>
            </w:tcBorders>
            <w:shd w:val="clear" w:color="000000" w:fill="95B3D7"/>
            <w:vAlign w:val="center"/>
            <w:hideMark/>
          </w:tcPr>
          <w:p w:rsidR="007A7479" w:rsidRPr="007A7479" w:rsidRDefault="007A7479" w:rsidP="007A7479">
            <w:pPr>
              <w:spacing w:after="0" w:line="240" w:lineRule="auto"/>
              <w:jc w:val="center"/>
              <w:rPr>
                <w:rFonts w:ascii="Calibri" w:eastAsia="Times New Roman" w:hAnsi="Calibri" w:cs="Calibri"/>
                <w:b/>
                <w:bCs/>
                <w:lang w:eastAsia="en-GB"/>
              </w:rPr>
            </w:pPr>
            <w:r w:rsidRPr="007A7479">
              <w:rPr>
                <w:rFonts w:ascii="Calibri" w:eastAsia="Times New Roman" w:hAnsi="Calibri" w:cs="Calibri"/>
                <w:b/>
                <w:bCs/>
                <w:lang w:eastAsia="en-GB"/>
              </w:rPr>
              <w:t>6,556</w:t>
            </w:r>
          </w:p>
        </w:tc>
        <w:tc>
          <w:tcPr>
            <w:tcW w:w="740" w:type="dxa"/>
            <w:tcBorders>
              <w:top w:val="nil"/>
              <w:left w:val="nil"/>
              <w:bottom w:val="single" w:sz="4" w:space="0" w:color="auto"/>
              <w:right w:val="single" w:sz="4" w:space="0" w:color="auto"/>
            </w:tcBorders>
            <w:shd w:val="clear" w:color="000000" w:fill="95B3D7"/>
            <w:vAlign w:val="center"/>
            <w:hideMark/>
          </w:tcPr>
          <w:p w:rsidR="007A7479" w:rsidRPr="007A7479" w:rsidRDefault="007A7479" w:rsidP="007A7479">
            <w:pPr>
              <w:spacing w:after="0" w:line="240" w:lineRule="auto"/>
              <w:jc w:val="center"/>
              <w:rPr>
                <w:rFonts w:ascii="Calibri" w:eastAsia="Times New Roman" w:hAnsi="Calibri" w:cs="Calibri"/>
                <w:b/>
                <w:bCs/>
                <w:lang w:eastAsia="en-GB"/>
              </w:rPr>
            </w:pPr>
            <w:r w:rsidRPr="007A7479">
              <w:rPr>
                <w:rFonts w:ascii="Calibri" w:eastAsia="Times New Roman" w:hAnsi="Calibri" w:cs="Calibri"/>
                <w:b/>
                <w:bCs/>
                <w:lang w:eastAsia="en-GB"/>
              </w:rPr>
              <w:t>1,819</w:t>
            </w:r>
          </w:p>
        </w:tc>
        <w:tc>
          <w:tcPr>
            <w:tcW w:w="990"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b/>
                <w:bCs/>
                <w:lang w:eastAsia="en-GB"/>
              </w:rPr>
            </w:pPr>
            <w:r w:rsidRPr="007A7479">
              <w:rPr>
                <w:rFonts w:ascii="Calibri" w:eastAsia="Times New Roman" w:hAnsi="Calibri" w:cs="Calibri"/>
                <w:b/>
                <w:bCs/>
                <w:lang w:eastAsia="en-GB"/>
              </w:rPr>
              <w:t>£17.74</w:t>
            </w:r>
          </w:p>
        </w:tc>
        <w:tc>
          <w:tcPr>
            <w:tcW w:w="986"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b/>
                <w:bCs/>
                <w:lang w:eastAsia="en-GB"/>
              </w:rPr>
            </w:pPr>
            <w:r w:rsidRPr="007A7479">
              <w:rPr>
                <w:rFonts w:ascii="Calibri" w:eastAsia="Times New Roman" w:hAnsi="Calibri" w:cs="Calibri"/>
                <w:b/>
                <w:bCs/>
                <w:lang w:eastAsia="en-GB"/>
              </w:rPr>
              <w:t>£24.36</w:t>
            </w:r>
          </w:p>
        </w:tc>
        <w:tc>
          <w:tcPr>
            <w:tcW w:w="1022"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b/>
                <w:bCs/>
                <w:lang w:eastAsia="en-GB"/>
              </w:rPr>
            </w:pPr>
            <w:r w:rsidRPr="007A7479">
              <w:rPr>
                <w:rFonts w:ascii="Calibri" w:eastAsia="Times New Roman" w:hAnsi="Calibri" w:cs="Calibri"/>
                <w:b/>
                <w:bCs/>
                <w:lang w:eastAsia="en-GB"/>
              </w:rPr>
              <w:t>£6.62</w:t>
            </w:r>
          </w:p>
        </w:tc>
        <w:tc>
          <w:tcPr>
            <w:tcW w:w="987" w:type="dxa"/>
            <w:tcBorders>
              <w:top w:val="nil"/>
              <w:left w:val="nil"/>
              <w:bottom w:val="single" w:sz="4" w:space="0" w:color="auto"/>
              <w:right w:val="single" w:sz="4" w:space="0" w:color="auto"/>
            </w:tcBorders>
            <w:shd w:val="clear" w:color="000000" w:fill="95B3D7"/>
            <w:noWrap/>
            <w:vAlign w:val="center"/>
            <w:hideMark/>
          </w:tcPr>
          <w:p w:rsidR="007A7479" w:rsidRPr="007A7479" w:rsidRDefault="007A7479" w:rsidP="007A7479">
            <w:pPr>
              <w:spacing w:after="0" w:line="240" w:lineRule="auto"/>
              <w:jc w:val="center"/>
              <w:rPr>
                <w:rFonts w:ascii="Calibri" w:eastAsia="Times New Roman" w:hAnsi="Calibri" w:cs="Calibri"/>
                <w:b/>
                <w:bCs/>
                <w:lang w:eastAsia="en-GB"/>
              </w:rPr>
            </w:pPr>
            <w:r w:rsidRPr="007A7479">
              <w:rPr>
                <w:rFonts w:ascii="Calibri" w:eastAsia="Times New Roman" w:hAnsi="Calibri" w:cs="Calibri"/>
                <w:b/>
                <w:bCs/>
                <w:lang w:eastAsia="en-GB"/>
              </w:rPr>
              <w:t>27.19%</w:t>
            </w:r>
          </w:p>
        </w:tc>
        <w:tc>
          <w:tcPr>
            <w:tcW w:w="721" w:type="dxa"/>
            <w:tcBorders>
              <w:top w:val="single" w:sz="4" w:space="0" w:color="auto"/>
              <w:left w:val="nil"/>
              <w:bottom w:val="single" w:sz="4" w:space="0" w:color="auto"/>
              <w:right w:val="single" w:sz="4" w:space="0" w:color="auto"/>
            </w:tcBorders>
            <w:shd w:val="clear" w:color="000000" w:fill="8DB3E2" w:themeFill="text2" w:themeFillTint="66"/>
            <w:noWrap/>
            <w:vAlign w:val="center"/>
            <w:hideMark/>
          </w:tcPr>
          <w:p w:rsidR="007A7479" w:rsidRPr="007A7479" w:rsidRDefault="007A7479" w:rsidP="007A7479">
            <w:pPr>
              <w:spacing w:after="0" w:line="240" w:lineRule="auto"/>
              <w:jc w:val="right"/>
              <w:rPr>
                <w:rFonts w:ascii="Calibri" w:eastAsia="Times New Roman" w:hAnsi="Calibri" w:cs="Calibri"/>
                <w:b/>
                <w:color w:val="000000"/>
                <w:lang w:eastAsia="en-GB"/>
              </w:rPr>
            </w:pPr>
            <w:r w:rsidRPr="007A7479">
              <w:rPr>
                <w:rFonts w:ascii="Calibri" w:eastAsia="Times New Roman" w:hAnsi="Calibri" w:cs="Calibri"/>
                <w:b/>
                <w:color w:val="000000"/>
                <w:lang w:eastAsia="en-GB"/>
              </w:rPr>
              <w:t>8,375</w:t>
            </w:r>
          </w:p>
        </w:tc>
        <w:tc>
          <w:tcPr>
            <w:tcW w:w="849" w:type="dxa"/>
            <w:tcBorders>
              <w:top w:val="single" w:sz="4" w:space="0" w:color="auto"/>
              <w:left w:val="single" w:sz="4" w:space="0" w:color="auto"/>
              <w:bottom w:val="single" w:sz="4" w:space="0" w:color="auto"/>
              <w:right w:val="single" w:sz="4" w:space="0" w:color="auto"/>
            </w:tcBorders>
            <w:shd w:val="clear" w:color="000000" w:fill="8DB3E2" w:themeFill="text2" w:themeFillTint="66"/>
            <w:noWrap/>
            <w:vAlign w:val="center"/>
            <w:hideMark/>
          </w:tcPr>
          <w:p w:rsidR="007A7479" w:rsidRPr="007A7479" w:rsidRDefault="007A7479" w:rsidP="007A7479">
            <w:pPr>
              <w:spacing w:after="0" w:line="240" w:lineRule="auto"/>
              <w:jc w:val="right"/>
              <w:rPr>
                <w:rFonts w:ascii="Calibri" w:eastAsia="Times New Roman" w:hAnsi="Calibri" w:cs="Calibri"/>
                <w:b/>
                <w:color w:val="000000"/>
                <w:lang w:eastAsia="en-GB"/>
              </w:rPr>
            </w:pPr>
            <w:r w:rsidRPr="007A7479">
              <w:rPr>
                <w:rFonts w:ascii="Calibri" w:eastAsia="Times New Roman" w:hAnsi="Calibri" w:cs="Calibri"/>
                <w:b/>
                <w:color w:val="000000"/>
                <w:lang w:eastAsia="en-GB"/>
              </w:rPr>
              <w:t>78.3%</w:t>
            </w:r>
          </w:p>
        </w:tc>
      </w:tr>
    </w:tbl>
    <w:p w:rsidR="00464C8A" w:rsidRDefault="00464C8A" w:rsidP="00B9508A">
      <w:pPr>
        <w:rPr>
          <w:rFonts w:ascii="Arial" w:eastAsia="Times New Roman" w:hAnsi="Arial" w:cs="Arial"/>
          <w:b/>
          <w:bCs/>
          <w:lang w:eastAsia="en-GB"/>
        </w:rPr>
      </w:pPr>
    </w:p>
    <w:p w:rsidR="00346B4A" w:rsidRPr="00464C8A" w:rsidRDefault="00346B4A" w:rsidP="00B9508A">
      <w:pPr>
        <w:rPr>
          <w:rFonts w:ascii="Arial" w:hAnsi="Arial" w:cs="Arial"/>
        </w:rPr>
      </w:pPr>
      <w:r w:rsidRPr="00464C8A">
        <w:rPr>
          <w:rFonts w:ascii="Arial" w:eastAsia="Times New Roman" w:hAnsi="Arial" w:cs="Arial"/>
          <w:b/>
          <w:bCs/>
          <w:lang w:eastAsia="en-GB"/>
        </w:rPr>
        <w:t xml:space="preserve">Medical grades </w:t>
      </w:r>
      <w:r w:rsidR="00CB2EEA" w:rsidRPr="00464C8A">
        <w:rPr>
          <w:rFonts w:ascii="Arial" w:eastAsia="Times New Roman" w:hAnsi="Arial" w:cs="Arial"/>
          <w:b/>
          <w:bCs/>
          <w:lang w:eastAsia="en-GB"/>
        </w:rPr>
        <w:t xml:space="preserve">workforce are the largest </w:t>
      </w:r>
      <w:r w:rsidR="00B9508A" w:rsidRPr="00464C8A">
        <w:rPr>
          <w:rFonts w:ascii="Arial" w:eastAsia="Times New Roman" w:hAnsi="Arial" w:cs="Arial"/>
          <w:b/>
          <w:bCs/>
          <w:lang w:eastAsia="en-GB"/>
        </w:rPr>
        <w:t xml:space="preserve">group </w:t>
      </w:r>
      <w:r w:rsidR="00464C8A">
        <w:rPr>
          <w:rFonts w:ascii="Arial" w:eastAsia="Times New Roman" w:hAnsi="Arial" w:cs="Arial"/>
          <w:b/>
          <w:bCs/>
          <w:lang w:eastAsia="en-GB"/>
        </w:rPr>
        <w:t>at 1079</w:t>
      </w:r>
      <w:r w:rsidR="00464C8A" w:rsidRPr="00464C8A">
        <w:rPr>
          <w:rFonts w:ascii="Arial" w:eastAsia="Times New Roman" w:hAnsi="Arial" w:cs="Arial"/>
          <w:b/>
          <w:bCs/>
          <w:lang w:eastAsia="en-GB"/>
        </w:rPr>
        <w:t xml:space="preserve">, and 12.83% of the workforce with 459 consultants in the </w:t>
      </w:r>
      <w:r w:rsidR="00B9508A" w:rsidRPr="00464C8A">
        <w:rPr>
          <w:rFonts w:ascii="Arial" w:eastAsia="Times New Roman" w:hAnsi="Arial" w:cs="Arial"/>
          <w:b/>
          <w:bCs/>
          <w:lang w:eastAsia="en-GB"/>
        </w:rPr>
        <w:t>highest paid</w:t>
      </w:r>
      <w:r w:rsidR="00CB2EEA" w:rsidRPr="00464C8A">
        <w:rPr>
          <w:rFonts w:ascii="Arial" w:eastAsia="Times New Roman" w:hAnsi="Arial" w:cs="Arial"/>
          <w:b/>
          <w:bCs/>
          <w:lang w:eastAsia="en-GB"/>
        </w:rPr>
        <w:t xml:space="preserve"> </w:t>
      </w:r>
      <w:r w:rsidR="003E0C40" w:rsidRPr="00464C8A">
        <w:rPr>
          <w:rFonts w:ascii="Arial" w:eastAsia="Times New Roman" w:hAnsi="Arial" w:cs="Arial"/>
          <w:b/>
          <w:bCs/>
          <w:lang w:eastAsia="en-GB"/>
        </w:rPr>
        <w:t>quartile</w:t>
      </w:r>
      <w:r w:rsidR="00CB2EEA" w:rsidRPr="00464C8A">
        <w:rPr>
          <w:rFonts w:ascii="Arial" w:eastAsia="Times New Roman" w:hAnsi="Arial" w:cs="Arial"/>
          <w:b/>
          <w:bCs/>
          <w:lang w:eastAsia="en-GB"/>
        </w:rPr>
        <w:t xml:space="preserve">. </w:t>
      </w:r>
      <w:r w:rsidR="00CB2EEA" w:rsidRPr="00464C8A">
        <w:rPr>
          <w:rFonts w:ascii="Arial" w:eastAsia="Times New Roman" w:hAnsi="Arial" w:cs="Arial"/>
          <w:bCs/>
          <w:lang w:eastAsia="en-GB"/>
        </w:rPr>
        <w:t xml:space="preserve">However the </w:t>
      </w:r>
      <w:r w:rsidR="00464C8A" w:rsidRPr="00464C8A">
        <w:rPr>
          <w:rFonts w:ascii="Arial" w:eastAsia="Times New Roman" w:hAnsi="Arial" w:cs="Arial"/>
          <w:bCs/>
          <w:lang w:eastAsia="en-GB"/>
        </w:rPr>
        <w:t>female representation in</w:t>
      </w:r>
      <w:r w:rsidR="00464C8A">
        <w:rPr>
          <w:rFonts w:ascii="Arial" w:eastAsia="Times New Roman" w:hAnsi="Arial" w:cs="Arial"/>
          <w:bCs/>
          <w:lang w:eastAsia="en-GB"/>
        </w:rPr>
        <w:t xml:space="preserve"> the 3 grades is consultant 39.2%, middle-</w:t>
      </w:r>
      <w:r w:rsidR="00CB2EEA" w:rsidRPr="00464C8A">
        <w:rPr>
          <w:rFonts w:ascii="Arial" w:eastAsia="Times New Roman" w:hAnsi="Arial" w:cs="Arial"/>
          <w:bCs/>
          <w:lang w:eastAsia="en-GB"/>
        </w:rPr>
        <w:t xml:space="preserve">grades </w:t>
      </w:r>
      <w:r w:rsidR="00CE1531" w:rsidRPr="00464C8A">
        <w:rPr>
          <w:rFonts w:ascii="Arial" w:eastAsia="Times New Roman" w:hAnsi="Arial" w:cs="Arial"/>
          <w:bCs/>
          <w:lang w:eastAsia="en-GB"/>
        </w:rPr>
        <w:t>are 38.</w:t>
      </w:r>
      <w:r w:rsidR="00464C8A">
        <w:rPr>
          <w:rFonts w:ascii="Arial" w:eastAsia="Times New Roman" w:hAnsi="Arial" w:cs="Arial"/>
          <w:bCs/>
          <w:lang w:eastAsia="en-GB"/>
        </w:rPr>
        <w:t>8</w:t>
      </w:r>
      <w:r w:rsidR="00B9508A" w:rsidRPr="00464C8A">
        <w:rPr>
          <w:rFonts w:ascii="Arial" w:eastAsia="Times New Roman" w:hAnsi="Arial" w:cs="Arial"/>
          <w:bCs/>
          <w:lang w:eastAsia="en-GB"/>
        </w:rPr>
        <w:t>%</w:t>
      </w:r>
      <w:r w:rsidR="00CE1531" w:rsidRPr="00464C8A">
        <w:rPr>
          <w:rFonts w:ascii="Arial" w:eastAsia="Times New Roman" w:hAnsi="Arial" w:cs="Arial"/>
          <w:bCs/>
          <w:lang w:eastAsia="en-GB"/>
        </w:rPr>
        <w:t xml:space="preserve"> </w:t>
      </w:r>
      <w:r w:rsidR="00464C8A">
        <w:rPr>
          <w:rFonts w:ascii="Arial" w:eastAsia="Times New Roman" w:hAnsi="Arial" w:cs="Arial"/>
          <w:bCs/>
          <w:lang w:eastAsia="en-GB"/>
        </w:rPr>
        <w:t xml:space="preserve">and junior 47.3% </w:t>
      </w:r>
      <w:r w:rsidR="00CB2EEA" w:rsidRPr="00464C8A">
        <w:rPr>
          <w:rFonts w:ascii="Arial" w:eastAsia="Times New Roman" w:hAnsi="Arial" w:cs="Arial"/>
          <w:bCs/>
          <w:lang w:eastAsia="en-GB"/>
        </w:rPr>
        <w:t xml:space="preserve">which is </w:t>
      </w:r>
      <w:r w:rsidR="00CE1531" w:rsidRPr="00464C8A">
        <w:rPr>
          <w:rFonts w:ascii="Arial" w:eastAsia="Times New Roman" w:hAnsi="Arial" w:cs="Arial"/>
          <w:bCs/>
          <w:lang w:eastAsia="en-GB"/>
        </w:rPr>
        <w:t>a low r</w:t>
      </w:r>
      <w:r w:rsidR="00CB2EEA" w:rsidRPr="00464C8A">
        <w:rPr>
          <w:rFonts w:ascii="Arial" w:eastAsia="Times New Roman" w:hAnsi="Arial" w:cs="Arial"/>
          <w:bCs/>
          <w:lang w:eastAsia="en-GB"/>
        </w:rPr>
        <w:t xml:space="preserve">atio </w:t>
      </w:r>
      <w:r w:rsidR="00CE1531" w:rsidRPr="00464C8A">
        <w:rPr>
          <w:rFonts w:ascii="Arial" w:eastAsia="Times New Roman" w:hAnsi="Arial" w:cs="Arial"/>
          <w:bCs/>
          <w:lang w:eastAsia="en-GB"/>
        </w:rPr>
        <w:t xml:space="preserve">for female </w:t>
      </w:r>
      <w:r w:rsidR="00CB2EEA" w:rsidRPr="00464C8A">
        <w:rPr>
          <w:rFonts w:ascii="Arial" w:eastAsia="Times New Roman" w:hAnsi="Arial" w:cs="Arial"/>
          <w:bCs/>
          <w:lang w:eastAsia="en-GB"/>
        </w:rPr>
        <w:t xml:space="preserve">when </w:t>
      </w:r>
      <w:r w:rsidR="00B9508A" w:rsidRPr="00464C8A">
        <w:rPr>
          <w:rFonts w:ascii="Arial" w:eastAsia="Times New Roman" w:hAnsi="Arial" w:cs="Arial"/>
          <w:bCs/>
          <w:lang w:eastAsia="en-GB"/>
        </w:rPr>
        <w:t xml:space="preserve">they make up </w:t>
      </w:r>
      <w:r w:rsidR="00CE1531" w:rsidRPr="00464C8A">
        <w:rPr>
          <w:rFonts w:ascii="Arial" w:eastAsia="Times New Roman" w:hAnsi="Arial" w:cs="Arial"/>
          <w:bCs/>
          <w:lang w:eastAsia="en-GB"/>
        </w:rPr>
        <w:t xml:space="preserve">78% </w:t>
      </w:r>
      <w:r w:rsidR="00B9508A" w:rsidRPr="00464C8A">
        <w:rPr>
          <w:rFonts w:ascii="Arial" w:eastAsia="Times New Roman" w:hAnsi="Arial" w:cs="Arial"/>
          <w:bCs/>
          <w:lang w:eastAsia="en-GB"/>
        </w:rPr>
        <w:t>of</w:t>
      </w:r>
      <w:r w:rsidR="00CE1531" w:rsidRPr="00464C8A">
        <w:rPr>
          <w:rFonts w:ascii="Arial" w:eastAsia="Times New Roman" w:hAnsi="Arial" w:cs="Arial"/>
          <w:bCs/>
          <w:lang w:eastAsia="en-GB"/>
        </w:rPr>
        <w:t xml:space="preserve"> the work</w:t>
      </w:r>
      <w:r w:rsidR="00CB2EEA" w:rsidRPr="00464C8A">
        <w:rPr>
          <w:rFonts w:ascii="Arial" w:eastAsia="Times New Roman" w:hAnsi="Arial" w:cs="Arial"/>
          <w:bCs/>
          <w:lang w:eastAsia="en-GB"/>
        </w:rPr>
        <w:t xml:space="preserve"> </w:t>
      </w:r>
      <w:r w:rsidR="00CE1531" w:rsidRPr="00464C8A">
        <w:rPr>
          <w:rFonts w:ascii="Arial" w:eastAsia="Times New Roman" w:hAnsi="Arial" w:cs="Arial"/>
          <w:bCs/>
          <w:lang w:eastAsia="en-GB"/>
        </w:rPr>
        <w:t xml:space="preserve">force. The pay gap </w:t>
      </w:r>
      <w:r w:rsidR="00CB2EEA" w:rsidRPr="00464C8A">
        <w:rPr>
          <w:rFonts w:ascii="Arial" w:eastAsia="Times New Roman" w:hAnsi="Arial" w:cs="Arial"/>
          <w:bCs/>
          <w:lang w:eastAsia="en-GB"/>
        </w:rPr>
        <w:t xml:space="preserve">here </w:t>
      </w:r>
      <w:r w:rsidR="00CE1531" w:rsidRPr="00464C8A">
        <w:rPr>
          <w:rFonts w:ascii="Arial" w:eastAsia="Times New Roman" w:hAnsi="Arial" w:cs="Arial"/>
          <w:bCs/>
          <w:lang w:eastAsia="en-GB"/>
        </w:rPr>
        <w:t xml:space="preserve">is </w:t>
      </w:r>
      <w:r w:rsidR="00464C8A">
        <w:rPr>
          <w:rFonts w:ascii="Arial" w:eastAsia="Times New Roman" w:hAnsi="Arial" w:cs="Arial"/>
          <w:bCs/>
          <w:lang w:eastAsia="en-GB"/>
        </w:rPr>
        <w:t>3.29 to 6.54%.</w:t>
      </w:r>
      <w:r w:rsidR="003E0C40" w:rsidRPr="00464C8A">
        <w:rPr>
          <w:rFonts w:ascii="Arial" w:eastAsia="Times New Roman" w:hAnsi="Arial" w:cs="Arial"/>
          <w:bCs/>
          <w:lang w:eastAsia="en-GB"/>
        </w:rPr>
        <w:t xml:space="preserve"> F</w:t>
      </w:r>
      <w:r w:rsidR="00CB2EEA" w:rsidRPr="00464C8A">
        <w:rPr>
          <w:rFonts w:ascii="Arial" w:eastAsia="Times New Roman" w:hAnsi="Arial" w:cs="Arial"/>
          <w:bCs/>
          <w:lang w:eastAsia="en-GB"/>
        </w:rPr>
        <w:t xml:space="preserve">emale ratios decrease the higher the grade.  </w:t>
      </w:r>
    </w:p>
    <w:p w:rsidR="000E2DB5" w:rsidRPr="00464C8A" w:rsidRDefault="002F1B03" w:rsidP="002F1B03">
      <w:pPr>
        <w:spacing w:after="0"/>
        <w:rPr>
          <w:rFonts w:ascii="Arial" w:hAnsi="Arial" w:cs="Arial"/>
          <w:b/>
          <w:bCs/>
        </w:rPr>
      </w:pPr>
      <w:r w:rsidRPr="00464C8A">
        <w:rPr>
          <w:rFonts w:ascii="Arial" w:hAnsi="Arial" w:cs="Arial"/>
          <w:b/>
          <w:bCs/>
        </w:rPr>
        <w:t xml:space="preserve">Average hourly rate pay gaps 2017 to 2020 reports </w:t>
      </w:r>
      <w:r w:rsidR="000E2DB5" w:rsidRPr="00464C8A">
        <w:rPr>
          <w:rFonts w:ascii="Arial" w:hAnsi="Arial" w:cs="Arial"/>
          <w:b/>
          <w:bCs/>
        </w:rPr>
        <w:t>–</w:t>
      </w:r>
      <w:r w:rsidRPr="00464C8A">
        <w:rPr>
          <w:rFonts w:ascii="Arial" w:hAnsi="Arial" w:cs="Arial"/>
          <w:b/>
          <w:bCs/>
        </w:rPr>
        <w:t xml:space="preserve"> </w:t>
      </w:r>
      <w:r w:rsidR="00464C8A">
        <w:rPr>
          <w:rFonts w:ascii="Arial" w:hAnsi="Arial" w:cs="Arial"/>
          <w:b/>
          <w:bCs/>
        </w:rPr>
        <w:t xml:space="preserve">SITE RESULTS </w:t>
      </w:r>
    </w:p>
    <w:p w:rsidR="000E2DB5" w:rsidRPr="00464C8A" w:rsidRDefault="000E2DB5" w:rsidP="002F1B03">
      <w:pPr>
        <w:spacing w:after="0"/>
        <w:rPr>
          <w:rFonts w:ascii="Arial" w:hAnsi="Arial" w:cs="Arial"/>
          <w:b/>
          <w:bCs/>
        </w:rPr>
      </w:pPr>
    </w:p>
    <w:p w:rsidR="00464C8A" w:rsidRPr="00464C8A" w:rsidRDefault="00464C8A" w:rsidP="002F1B03">
      <w:pPr>
        <w:spacing w:after="0"/>
        <w:rPr>
          <w:rFonts w:ascii="Arial" w:hAnsi="Arial" w:cs="Arial"/>
          <w:b/>
          <w:bCs/>
          <w:i/>
        </w:rPr>
      </w:pPr>
      <w:r w:rsidRPr="00464C8A">
        <w:rPr>
          <w:rFonts w:ascii="Arial" w:hAnsi="Arial" w:cs="Arial"/>
          <w:b/>
          <w:bCs/>
          <w:i/>
        </w:rPr>
        <w:t xml:space="preserve">Lower rates at Bedford than Luton </w:t>
      </w:r>
      <w:r w:rsidR="00D067E4">
        <w:rPr>
          <w:rFonts w:ascii="Arial" w:hAnsi="Arial" w:cs="Arial"/>
          <w:b/>
          <w:bCs/>
          <w:i/>
        </w:rPr>
        <w:t xml:space="preserve">2017 to 2021 </w:t>
      </w:r>
    </w:p>
    <w:p w:rsidR="000E2DB5" w:rsidRPr="00464C8A" w:rsidRDefault="002F1B03" w:rsidP="002F1B03">
      <w:pPr>
        <w:spacing w:after="0"/>
        <w:rPr>
          <w:rFonts w:ascii="Arial" w:hAnsi="Arial" w:cs="Arial"/>
          <w:bCs/>
          <w:i/>
        </w:rPr>
      </w:pPr>
      <w:r w:rsidRPr="00464C8A">
        <w:rPr>
          <w:rFonts w:ascii="Arial" w:hAnsi="Arial" w:cs="Arial"/>
          <w:bCs/>
          <w:i/>
        </w:rPr>
        <w:t xml:space="preserve">The chart below shows </w:t>
      </w:r>
      <w:r w:rsidR="000E2DB5" w:rsidRPr="00464C8A">
        <w:rPr>
          <w:rFonts w:ascii="Arial" w:hAnsi="Arial" w:cs="Arial"/>
          <w:bCs/>
          <w:i/>
        </w:rPr>
        <w:t xml:space="preserve">average mean hourly rate trends for BH and LDH where the rate: </w:t>
      </w:r>
    </w:p>
    <w:p w:rsidR="000E2DB5" w:rsidRPr="00464C8A" w:rsidRDefault="000E2DB5" w:rsidP="004135C2">
      <w:pPr>
        <w:pStyle w:val="ListParagraph"/>
        <w:numPr>
          <w:ilvl w:val="0"/>
          <w:numId w:val="1"/>
        </w:numPr>
        <w:spacing w:after="0"/>
        <w:rPr>
          <w:rFonts w:ascii="Arial" w:hAnsi="Arial" w:cs="Arial"/>
          <w:bCs/>
          <w:i/>
        </w:rPr>
      </w:pPr>
      <w:r w:rsidRPr="00464C8A">
        <w:rPr>
          <w:rFonts w:ascii="Arial" w:hAnsi="Arial" w:cs="Arial"/>
          <w:bCs/>
          <w:i/>
        </w:rPr>
        <w:t>Is lower for Male at B</w:t>
      </w:r>
      <w:r w:rsidR="00FE6507" w:rsidRPr="00464C8A">
        <w:rPr>
          <w:rFonts w:ascii="Arial" w:hAnsi="Arial" w:cs="Arial"/>
          <w:bCs/>
          <w:i/>
        </w:rPr>
        <w:t>H</w:t>
      </w:r>
      <w:r w:rsidRPr="00464C8A">
        <w:rPr>
          <w:rFonts w:ascii="Arial" w:hAnsi="Arial" w:cs="Arial"/>
          <w:bCs/>
          <w:i/>
        </w:rPr>
        <w:t xml:space="preserve"> than Male at LDH – in </w:t>
      </w:r>
      <w:r w:rsidR="00FE6507" w:rsidRPr="00464C8A">
        <w:rPr>
          <w:rFonts w:ascii="Arial" w:hAnsi="Arial" w:cs="Arial"/>
          <w:bCs/>
          <w:i/>
        </w:rPr>
        <w:t xml:space="preserve">2017 by </w:t>
      </w:r>
      <w:r w:rsidRPr="00464C8A">
        <w:rPr>
          <w:rFonts w:ascii="Arial" w:hAnsi="Arial" w:cs="Arial"/>
          <w:bCs/>
          <w:i/>
        </w:rPr>
        <w:t>£</w:t>
      </w:r>
      <w:r w:rsidR="00FE6507" w:rsidRPr="00464C8A">
        <w:rPr>
          <w:rFonts w:ascii="Arial" w:hAnsi="Arial" w:cs="Arial"/>
          <w:bCs/>
          <w:i/>
        </w:rPr>
        <w:t>1.20 and 2021 by £0.65</w:t>
      </w:r>
    </w:p>
    <w:p w:rsidR="000E2DB5" w:rsidRPr="00464C8A" w:rsidRDefault="000E2DB5" w:rsidP="004135C2">
      <w:pPr>
        <w:pStyle w:val="ListParagraph"/>
        <w:numPr>
          <w:ilvl w:val="0"/>
          <w:numId w:val="1"/>
        </w:numPr>
        <w:spacing w:after="0"/>
        <w:rPr>
          <w:rFonts w:ascii="Arial" w:hAnsi="Arial" w:cs="Arial"/>
          <w:bCs/>
          <w:i/>
        </w:rPr>
      </w:pPr>
      <w:r w:rsidRPr="00464C8A">
        <w:rPr>
          <w:rFonts w:ascii="Arial" w:hAnsi="Arial" w:cs="Arial"/>
          <w:bCs/>
          <w:i/>
        </w:rPr>
        <w:t>Is lower for female at B</w:t>
      </w:r>
      <w:r w:rsidR="00FE6507" w:rsidRPr="00464C8A">
        <w:rPr>
          <w:rFonts w:ascii="Arial" w:hAnsi="Arial" w:cs="Arial"/>
          <w:bCs/>
          <w:i/>
        </w:rPr>
        <w:t>H than fem</w:t>
      </w:r>
      <w:r w:rsidRPr="00464C8A">
        <w:rPr>
          <w:rFonts w:ascii="Arial" w:hAnsi="Arial" w:cs="Arial"/>
          <w:bCs/>
          <w:i/>
        </w:rPr>
        <w:t>ale at LDH – in 20</w:t>
      </w:r>
      <w:r w:rsidR="00FE6507" w:rsidRPr="00464C8A">
        <w:rPr>
          <w:rFonts w:ascii="Arial" w:hAnsi="Arial" w:cs="Arial"/>
          <w:bCs/>
          <w:i/>
        </w:rPr>
        <w:t xml:space="preserve">17 by £0.82 and 2021 </w:t>
      </w:r>
      <w:r w:rsidRPr="00464C8A">
        <w:rPr>
          <w:rFonts w:ascii="Arial" w:hAnsi="Arial" w:cs="Arial"/>
          <w:bCs/>
          <w:i/>
        </w:rPr>
        <w:t>by £</w:t>
      </w:r>
      <w:r w:rsidR="00FE6507" w:rsidRPr="00464C8A">
        <w:rPr>
          <w:rFonts w:ascii="Arial" w:hAnsi="Arial" w:cs="Arial"/>
          <w:bCs/>
          <w:i/>
        </w:rPr>
        <w:t>1.18</w:t>
      </w:r>
    </w:p>
    <w:p w:rsidR="00FE6507" w:rsidRPr="00464C8A" w:rsidRDefault="00FE6507" w:rsidP="00FE6507">
      <w:pPr>
        <w:spacing w:after="0"/>
        <w:rPr>
          <w:rFonts w:ascii="Arial" w:hAnsi="Arial" w:cs="Arial"/>
          <w:bCs/>
          <w:i/>
        </w:rPr>
      </w:pPr>
    </w:p>
    <w:p w:rsidR="00FE6507" w:rsidRPr="00464C8A" w:rsidRDefault="00FE6507" w:rsidP="00FE6507">
      <w:pPr>
        <w:spacing w:after="0"/>
        <w:rPr>
          <w:rFonts w:ascii="Arial" w:hAnsi="Arial" w:cs="Arial"/>
          <w:bCs/>
          <w:i/>
        </w:rPr>
      </w:pPr>
      <w:r w:rsidRPr="00464C8A">
        <w:rPr>
          <w:rFonts w:ascii="Arial" w:hAnsi="Arial" w:cs="Arial"/>
          <w:bCs/>
          <w:i/>
        </w:rPr>
        <w:t>In terms of male to female pay in 2017 and 2021:</w:t>
      </w:r>
    </w:p>
    <w:p w:rsidR="00FE6507" w:rsidRPr="00464C8A" w:rsidRDefault="00FE6507" w:rsidP="004135C2">
      <w:pPr>
        <w:pStyle w:val="ListParagraph"/>
        <w:numPr>
          <w:ilvl w:val="0"/>
          <w:numId w:val="1"/>
        </w:numPr>
        <w:spacing w:after="0"/>
        <w:rPr>
          <w:rFonts w:ascii="Arial" w:hAnsi="Arial" w:cs="Arial"/>
          <w:bCs/>
          <w:i/>
        </w:rPr>
      </w:pPr>
      <w:r w:rsidRPr="00464C8A">
        <w:rPr>
          <w:rFonts w:ascii="Arial" w:hAnsi="Arial" w:cs="Arial"/>
          <w:bCs/>
          <w:i/>
        </w:rPr>
        <w:t xml:space="preserve">BH females received £6.03 less an hour in 2017 and £7.10 less in 2021 than BH male </w:t>
      </w:r>
    </w:p>
    <w:p w:rsidR="00FE6507" w:rsidRPr="00464C8A" w:rsidRDefault="00FE6507" w:rsidP="004135C2">
      <w:pPr>
        <w:pStyle w:val="ListParagraph"/>
        <w:numPr>
          <w:ilvl w:val="0"/>
          <w:numId w:val="1"/>
        </w:numPr>
        <w:spacing w:after="0"/>
        <w:rPr>
          <w:rFonts w:ascii="Arial" w:hAnsi="Arial" w:cs="Arial"/>
          <w:bCs/>
          <w:i/>
        </w:rPr>
      </w:pPr>
      <w:r w:rsidRPr="00464C8A">
        <w:rPr>
          <w:rFonts w:ascii="Arial" w:hAnsi="Arial" w:cs="Arial"/>
          <w:bCs/>
          <w:i/>
        </w:rPr>
        <w:t xml:space="preserve">LDH females received £6.41 less an hour in 2017 and £6.58 less in 2021 than LDH male. </w:t>
      </w:r>
    </w:p>
    <w:p w:rsidR="00BF4DE8" w:rsidRPr="00464C8A" w:rsidRDefault="00BF4DE8" w:rsidP="004135C2">
      <w:pPr>
        <w:pStyle w:val="ListParagraph"/>
        <w:numPr>
          <w:ilvl w:val="0"/>
          <w:numId w:val="1"/>
        </w:numPr>
        <w:spacing w:after="0"/>
        <w:rPr>
          <w:rFonts w:ascii="Arial" w:hAnsi="Arial" w:cs="Arial"/>
          <w:bCs/>
        </w:rPr>
      </w:pPr>
      <w:r w:rsidRPr="00464C8A">
        <w:rPr>
          <w:rFonts w:ascii="Arial" w:hAnsi="Arial" w:cs="Arial"/>
          <w:bCs/>
          <w:i/>
        </w:rPr>
        <w:t>NB BH females received £7.75 less than LDH male in 2021.</w:t>
      </w:r>
      <w:r w:rsidRPr="00464C8A">
        <w:rPr>
          <w:rFonts w:ascii="Arial" w:hAnsi="Arial" w:cs="Arial"/>
          <w:bCs/>
        </w:rPr>
        <w:t xml:space="preserve"> </w:t>
      </w:r>
    </w:p>
    <w:p w:rsidR="000E2DB5" w:rsidRPr="00464C8A" w:rsidRDefault="000E2DB5" w:rsidP="000E2DB5">
      <w:pPr>
        <w:spacing w:after="0"/>
        <w:rPr>
          <w:rFonts w:ascii="Arial" w:hAnsi="Arial" w:cs="Arial"/>
          <w:bCs/>
        </w:rPr>
      </w:pPr>
    </w:p>
    <w:p w:rsidR="008855BC" w:rsidRPr="001108D9" w:rsidRDefault="00B247E7" w:rsidP="008A2632">
      <w:pPr>
        <w:rPr>
          <w:rFonts w:ascii="Arial" w:hAnsi="Arial" w:cs="Arial"/>
          <w:b/>
          <w:color w:val="FF0000"/>
          <w:highlight w:val="lightGray"/>
        </w:rPr>
      </w:pPr>
      <w:r w:rsidRPr="001108D9">
        <w:rPr>
          <w:noProof/>
          <w:color w:val="FF0000"/>
          <w:lang w:eastAsia="en-GB"/>
        </w:rPr>
        <w:drawing>
          <wp:inline distT="0" distB="0" distL="0" distR="0" wp14:anchorId="5049100D" wp14:editId="463B3867">
            <wp:extent cx="6078855" cy="2332566"/>
            <wp:effectExtent l="0" t="0" r="1714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9488" w:type="dxa"/>
        <w:tblLook w:val="04A0" w:firstRow="1" w:lastRow="0" w:firstColumn="1" w:lastColumn="0" w:noHBand="0" w:noVBand="1"/>
      </w:tblPr>
      <w:tblGrid>
        <w:gridCol w:w="2127"/>
        <w:gridCol w:w="1729"/>
        <w:gridCol w:w="1934"/>
        <w:gridCol w:w="1849"/>
        <w:gridCol w:w="1849"/>
      </w:tblGrid>
      <w:tr w:rsidR="008B1E8A" w:rsidRPr="001108D9" w:rsidTr="008B1E8A">
        <w:trPr>
          <w:trHeight w:val="149"/>
        </w:trPr>
        <w:tc>
          <w:tcPr>
            <w:tcW w:w="2127" w:type="dxa"/>
            <w:tcBorders>
              <w:top w:val="single" w:sz="4" w:space="0" w:color="969696"/>
              <w:left w:val="single" w:sz="4" w:space="0" w:color="969696"/>
              <w:bottom w:val="single" w:sz="4" w:space="0" w:color="969696"/>
              <w:right w:val="nil"/>
            </w:tcBorders>
            <w:shd w:val="clear" w:color="000000" w:fill="9BC2E6"/>
            <w:hideMark/>
          </w:tcPr>
          <w:p w:rsidR="008B1E8A" w:rsidRPr="008B1E8A" w:rsidRDefault="008B1E8A" w:rsidP="008B1E8A">
            <w:pPr>
              <w:spacing w:after="0" w:line="240" w:lineRule="auto"/>
              <w:rPr>
                <w:rFonts w:eastAsia="Times New Roman" w:cstheme="minorHAnsi"/>
                <w:b/>
                <w:bCs/>
                <w:lang w:eastAsia="en-GB"/>
              </w:rPr>
            </w:pPr>
            <w:r w:rsidRPr="008B1E8A">
              <w:rPr>
                <w:rFonts w:eastAsia="Times New Roman" w:cstheme="minorHAnsi"/>
                <w:b/>
                <w:bCs/>
                <w:lang w:eastAsia="en-GB"/>
              </w:rPr>
              <w:t xml:space="preserve">Gender BHFT </w:t>
            </w:r>
          </w:p>
        </w:tc>
        <w:tc>
          <w:tcPr>
            <w:tcW w:w="1729" w:type="dxa"/>
            <w:tcBorders>
              <w:top w:val="single" w:sz="4" w:space="0" w:color="969696"/>
              <w:left w:val="single" w:sz="4" w:space="0" w:color="969696"/>
              <w:bottom w:val="single" w:sz="4" w:space="0" w:color="969696"/>
              <w:right w:val="nil"/>
            </w:tcBorders>
            <w:shd w:val="clear" w:color="000000" w:fill="9BC2E6"/>
            <w:hideMark/>
          </w:tcPr>
          <w:p w:rsidR="008B1E8A" w:rsidRPr="008B1E8A" w:rsidRDefault="008B1E8A" w:rsidP="008B1E8A">
            <w:pPr>
              <w:spacing w:after="0" w:line="240" w:lineRule="auto"/>
              <w:jc w:val="center"/>
              <w:rPr>
                <w:rFonts w:eastAsia="Times New Roman" w:cstheme="minorHAnsi"/>
                <w:b/>
                <w:bCs/>
                <w:lang w:eastAsia="en-GB"/>
              </w:rPr>
            </w:pPr>
            <w:r w:rsidRPr="008B1E8A">
              <w:rPr>
                <w:rFonts w:eastAsia="Times New Roman" w:cstheme="minorHAnsi"/>
                <w:b/>
                <w:bCs/>
                <w:lang w:eastAsia="en-GB"/>
              </w:rPr>
              <w:t>Avg. Hourly Rate 2021</w:t>
            </w:r>
          </w:p>
        </w:tc>
        <w:tc>
          <w:tcPr>
            <w:tcW w:w="1934" w:type="dxa"/>
            <w:tcBorders>
              <w:top w:val="single" w:sz="4" w:space="0" w:color="969696"/>
              <w:left w:val="single" w:sz="4" w:space="0" w:color="969696"/>
              <w:bottom w:val="single" w:sz="4" w:space="0" w:color="969696"/>
              <w:right w:val="single" w:sz="4" w:space="0" w:color="969696"/>
            </w:tcBorders>
            <w:shd w:val="clear" w:color="000000" w:fill="9BC2E6"/>
            <w:hideMark/>
          </w:tcPr>
          <w:p w:rsidR="008B1E8A" w:rsidRPr="008B1E8A" w:rsidRDefault="008B1E8A" w:rsidP="008B1E8A">
            <w:pPr>
              <w:spacing w:after="0" w:line="240" w:lineRule="auto"/>
              <w:jc w:val="center"/>
              <w:rPr>
                <w:rFonts w:eastAsia="Times New Roman" w:cstheme="minorHAnsi"/>
                <w:b/>
                <w:bCs/>
                <w:lang w:eastAsia="en-GB"/>
              </w:rPr>
            </w:pPr>
            <w:r w:rsidRPr="008B1E8A">
              <w:rPr>
                <w:rFonts w:eastAsia="Times New Roman" w:cstheme="minorHAnsi"/>
                <w:b/>
                <w:bCs/>
                <w:lang w:eastAsia="en-GB"/>
              </w:rPr>
              <w:t>Median Hourly Rate 2021</w:t>
            </w:r>
          </w:p>
        </w:tc>
        <w:tc>
          <w:tcPr>
            <w:tcW w:w="1849" w:type="dxa"/>
            <w:tcBorders>
              <w:top w:val="single" w:sz="4" w:space="0" w:color="969696"/>
              <w:left w:val="single" w:sz="4" w:space="0" w:color="969696"/>
              <w:bottom w:val="single" w:sz="4" w:space="0" w:color="969696"/>
              <w:right w:val="single" w:sz="4" w:space="0" w:color="969696"/>
            </w:tcBorders>
            <w:shd w:val="clear" w:color="auto" w:fill="B8CCE4" w:themeFill="accent1" w:themeFillTint="66"/>
          </w:tcPr>
          <w:p w:rsidR="008B1E8A" w:rsidRPr="008B1E8A" w:rsidRDefault="008B1E8A" w:rsidP="008B1E8A">
            <w:pPr>
              <w:spacing w:after="0" w:line="240" w:lineRule="auto"/>
              <w:jc w:val="center"/>
              <w:rPr>
                <w:rFonts w:eastAsia="Times New Roman" w:cstheme="minorHAnsi"/>
                <w:b/>
                <w:bCs/>
                <w:lang w:eastAsia="en-GB"/>
              </w:rPr>
            </w:pPr>
            <w:r w:rsidRPr="008B1E8A">
              <w:rPr>
                <w:rFonts w:eastAsia="Times New Roman" w:cstheme="minorHAnsi"/>
                <w:b/>
                <w:bCs/>
                <w:lang w:eastAsia="en-GB"/>
              </w:rPr>
              <w:t>Avg. Hourly Rate 2022</w:t>
            </w:r>
          </w:p>
        </w:tc>
        <w:tc>
          <w:tcPr>
            <w:tcW w:w="1849" w:type="dxa"/>
            <w:tcBorders>
              <w:top w:val="single" w:sz="4" w:space="0" w:color="969696"/>
              <w:left w:val="single" w:sz="4" w:space="0" w:color="969696"/>
              <w:bottom w:val="single" w:sz="4" w:space="0" w:color="969696"/>
              <w:right w:val="single" w:sz="4" w:space="0" w:color="969696"/>
            </w:tcBorders>
            <w:shd w:val="clear" w:color="auto" w:fill="B8CCE4" w:themeFill="accent1" w:themeFillTint="66"/>
          </w:tcPr>
          <w:p w:rsidR="008B1E8A" w:rsidRPr="008B1E8A" w:rsidRDefault="008B1E8A" w:rsidP="008B1E8A">
            <w:pPr>
              <w:spacing w:after="0" w:line="240" w:lineRule="auto"/>
              <w:jc w:val="center"/>
              <w:rPr>
                <w:rFonts w:eastAsia="Times New Roman" w:cstheme="minorHAnsi"/>
                <w:b/>
                <w:bCs/>
                <w:lang w:eastAsia="en-GB"/>
              </w:rPr>
            </w:pPr>
            <w:r w:rsidRPr="008B1E8A">
              <w:rPr>
                <w:rFonts w:eastAsia="Times New Roman" w:cstheme="minorHAnsi"/>
                <w:b/>
                <w:bCs/>
                <w:lang w:eastAsia="en-GB"/>
              </w:rPr>
              <w:t>Median Hourly Rate 2022</w:t>
            </w:r>
          </w:p>
        </w:tc>
      </w:tr>
      <w:tr w:rsidR="008B1E8A" w:rsidRPr="001108D9" w:rsidTr="00D067E4">
        <w:trPr>
          <w:trHeight w:val="287"/>
        </w:trPr>
        <w:tc>
          <w:tcPr>
            <w:tcW w:w="2127" w:type="dxa"/>
            <w:tcBorders>
              <w:top w:val="single" w:sz="4" w:space="0" w:color="969696"/>
              <w:left w:val="single" w:sz="4" w:space="0" w:color="969696"/>
              <w:bottom w:val="single" w:sz="4" w:space="0" w:color="969696"/>
              <w:right w:val="nil"/>
            </w:tcBorders>
            <w:shd w:val="clear" w:color="000000" w:fill="9BC2E6"/>
            <w:hideMark/>
          </w:tcPr>
          <w:p w:rsidR="008B1E8A" w:rsidRPr="008B1E8A" w:rsidRDefault="008B1E8A" w:rsidP="008B1E8A">
            <w:pPr>
              <w:spacing w:after="0" w:line="240" w:lineRule="auto"/>
              <w:rPr>
                <w:rFonts w:eastAsia="Times New Roman" w:cstheme="minorHAnsi"/>
                <w:b/>
                <w:bCs/>
                <w:lang w:eastAsia="en-GB"/>
              </w:rPr>
            </w:pPr>
            <w:r w:rsidRPr="008B1E8A">
              <w:rPr>
                <w:rFonts w:eastAsia="Times New Roman" w:cstheme="minorHAnsi"/>
                <w:b/>
                <w:bCs/>
                <w:lang w:eastAsia="en-GB"/>
              </w:rPr>
              <w:t>Male</w:t>
            </w:r>
          </w:p>
        </w:tc>
        <w:tc>
          <w:tcPr>
            <w:tcW w:w="1729" w:type="dxa"/>
            <w:tcBorders>
              <w:top w:val="single" w:sz="4" w:space="0" w:color="969696"/>
              <w:left w:val="single" w:sz="4" w:space="0" w:color="969696"/>
              <w:bottom w:val="single" w:sz="4" w:space="0" w:color="969696"/>
              <w:right w:val="nil"/>
            </w:tcBorders>
            <w:shd w:val="clear" w:color="000000" w:fill="FFFFFF"/>
            <w:hideMark/>
          </w:tcPr>
          <w:p w:rsidR="008B1E8A" w:rsidRPr="008B1E8A" w:rsidRDefault="008B1E8A" w:rsidP="008B1E8A">
            <w:pPr>
              <w:spacing w:after="0" w:line="240" w:lineRule="auto"/>
              <w:jc w:val="right"/>
              <w:rPr>
                <w:rFonts w:eastAsia="Times New Roman" w:cstheme="minorHAnsi"/>
                <w:lang w:eastAsia="en-GB"/>
              </w:rPr>
            </w:pPr>
            <w:r w:rsidRPr="008B1E8A">
              <w:rPr>
                <w:rFonts w:eastAsia="Times New Roman" w:cstheme="minorHAnsi"/>
                <w:lang w:eastAsia="en-GB"/>
              </w:rPr>
              <w:t>£23.77</w:t>
            </w:r>
          </w:p>
        </w:tc>
        <w:tc>
          <w:tcPr>
            <w:tcW w:w="1934" w:type="dxa"/>
            <w:tcBorders>
              <w:top w:val="single" w:sz="4" w:space="0" w:color="969696"/>
              <w:left w:val="single" w:sz="4" w:space="0" w:color="969696"/>
              <w:bottom w:val="single" w:sz="4" w:space="0" w:color="969696"/>
              <w:right w:val="single" w:sz="4" w:space="0" w:color="969696"/>
            </w:tcBorders>
            <w:shd w:val="clear" w:color="000000" w:fill="FFFFFF"/>
            <w:hideMark/>
          </w:tcPr>
          <w:p w:rsidR="008B1E8A" w:rsidRPr="008B1E8A" w:rsidRDefault="008B1E8A" w:rsidP="008B1E8A">
            <w:pPr>
              <w:spacing w:after="0" w:line="240" w:lineRule="auto"/>
              <w:jc w:val="right"/>
              <w:rPr>
                <w:rFonts w:eastAsia="Times New Roman" w:cstheme="minorHAnsi"/>
                <w:lang w:eastAsia="en-GB"/>
              </w:rPr>
            </w:pPr>
            <w:r w:rsidRPr="008B1E8A">
              <w:rPr>
                <w:rFonts w:eastAsia="Times New Roman" w:cstheme="minorHAnsi"/>
                <w:lang w:eastAsia="en-GB"/>
              </w:rPr>
              <w:t>£19.02</w:t>
            </w:r>
          </w:p>
        </w:tc>
        <w:tc>
          <w:tcPr>
            <w:tcW w:w="1849" w:type="dxa"/>
            <w:tcBorders>
              <w:top w:val="single" w:sz="4" w:space="0" w:color="969696"/>
              <w:left w:val="single" w:sz="4" w:space="0" w:color="969696"/>
              <w:bottom w:val="single" w:sz="4" w:space="0" w:color="969696"/>
              <w:right w:val="single" w:sz="4" w:space="0" w:color="969696"/>
            </w:tcBorders>
            <w:shd w:val="clear" w:color="auto" w:fill="B8CCE4" w:themeFill="accent1" w:themeFillTint="66"/>
            <w:vAlign w:val="center"/>
          </w:tcPr>
          <w:p w:rsidR="008B1E8A" w:rsidRPr="008B1E8A" w:rsidRDefault="008B1E8A" w:rsidP="008B1E8A">
            <w:pPr>
              <w:spacing w:after="0" w:line="240" w:lineRule="auto"/>
              <w:jc w:val="right"/>
              <w:rPr>
                <w:rFonts w:eastAsia="Times New Roman" w:cstheme="minorHAnsi"/>
                <w:color w:val="000000"/>
                <w:lang w:eastAsia="en-GB"/>
              </w:rPr>
            </w:pPr>
            <w:r w:rsidRPr="008B1E8A">
              <w:rPr>
                <w:rFonts w:eastAsia="Times New Roman" w:cstheme="minorHAnsi"/>
                <w:color w:val="000000"/>
                <w:lang w:eastAsia="en-GB"/>
              </w:rPr>
              <w:t>£24.36</w:t>
            </w:r>
          </w:p>
        </w:tc>
        <w:tc>
          <w:tcPr>
            <w:tcW w:w="1849" w:type="dxa"/>
            <w:tcBorders>
              <w:top w:val="single" w:sz="4" w:space="0" w:color="969696"/>
              <w:left w:val="single" w:sz="4" w:space="0" w:color="969696"/>
              <w:bottom w:val="single" w:sz="4" w:space="0" w:color="969696"/>
              <w:right w:val="single" w:sz="4" w:space="0" w:color="969696"/>
            </w:tcBorders>
            <w:shd w:val="clear" w:color="auto" w:fill="B8CCE4" w:themeFill="accent1" w:themeFillTint="66"/>
            <w:vAlign w:val="center"/>
          </w:tcPr>
          <w:p w:rsidR="008B1E8A" w:rsidRPr="008B1E8A" w:rsidRDefault="008B1E8A" w:rsidP="008B1E8A">
            <w:pPr>
              <w:spacing w:after="0" w:line="240" w:lineRule="auto"/>
              <w:jc w:val="right"/>
              <w:rPr>
                <w:rFonts w:eastAsia="Times New Roman" w:cstheme="minorHAnsi"/>
                <w:color w:val="000000"/>
                <w:lang w:eastAsia="en-GB"/>
              </w:rPr>
            </w:pPr>
            <w:r w:rsidRPr="008B1E8A">
              <w:rPr>
                <w:rFonts w:eastAsia="Times New Roman" w:cstheme="minorHAnsi"/>
                <w:color w:val="000000"/>
                <w:lang w:eastAsia="en-GB"/>
              </w:rPr>
              <w:t>£19.51</w:t>
            </w:r>
          </w:p>
        </w:tc>
      </w:tr>
      <w:tr w:rsidR="008B1E8A" w:rsidRPr="001108D9" w:rsidTr="00D067E4">
        <w:trPr>
          <w:trHeight w:val="143"/>
        </w:trPr>
        <w:tc>
          <w:tcPr>
            <w:tcW w:w="2127" w:type="dxa"/>
            <w:tcBorders>
              <w:top w:val="nil"/>
              <w:left w:val="single" w:sz="4" w:space="0" w:color="969696"/>
              <w:bottom w:val="single" w:sz="4" w:space="0" w:color="969696"/>
              <w:right w:val="nil"/>
            </w:tcBorders>
            <w:shd w:val="clear" w:color="000000" w:fill="9BC2E6"/>
            <w:hideMark/>
          </w:tcPr>
          <w:p w:rsidR="008B1E8A" w:rsidRPr="008B1E8A" w:rsidRDefault="008B1E8A" w:rsidP="008B1E8A">
            <w:pPr>
              <w:spacing w:after="0" w:line="240" w:lineRule="auto"/>
              <w:rPr>
                <w:rFonts w:eastAsia="Times New Roman" w:cstheme="minorHAnsi"/>
                <w:b/>
                <w:bCs/>
                <w:lang w:eastAsia="en-GB"/>
              </w:rPr>
            </w:pPr>
            <w:r w:rsidRPr="008B1E8A">
              <w:rPr>
                <w:rFonts w:eastAsia="Times New Roman" w:cstheme="minorHAnsi"/>
                <w:b/>
                <w:bCs/>
                <w:lang w:eastAsia="en-GB"/>
              </w:rPr>
              <w:t>Female</w:t>
            </w:r>
          </w:p>
        </w:tc>
        <w:tc>
          <w:tcPr>
            <w:tcW w:w="1729" w:type="dxa"/>
            <w:tcBorders>
              <w:top w:val="nil"/>
              <w:left w:val="single" w:sz="4" w:space="0" w:color="969696"/>
              <w:bottom w:val="single" w:sz="4" w:space="0" w:color="969696"/>
              <w:right w:val="nil"/>
            </w:tcBorders>
            <w:shd w:val="clear" w:color="000000" w:fill="FFFFFF"/>
            <w:hideMark/>
          </w:tcPr>
          <w:p w:rsidR="008B1E8A" w:rsidRPr="008B1E8A" w:rsidRDefault="008B1E8A" w:rsidP="008B1E8A">
            <w:pPr>
              <w:spacing w:after="0" w:line="240" w:lineRule="auto"/>
              <w:jc w:val="right"/>
              <w:rPr>
                <w:rFonts w:eastAsia="Times New Roman" w:cstheme="minorHAnsi"/>
                <w:lang w:eastAsia="en-GB"/>
              </w:rPr>
            </w:pPr>
            <w:r w:rsidRPr="008B1E8A">
              <w:rPr>
                <w:rFonts w:eastAsia="Times New Roman" w:cstheme="minorHAnsi"/>
                <w:lang w:eastAsia="en-GB"/>
              </w:rPr>
              <w:t>£17.01</w:t>
            </w:r>
          </w:p>
        </w:tc>
        <w:tc>
          <w:tcPr>
            <w:tcW w:w="1934" w:type="dxa"/>
            <w:tcBorders>
              <w:top w:val="nil"/>
              <w:left w:val="single" w:sz="4" w:space="0" w:color="969696"/>
              <w:bottom w:val="single" w:sz="4" w:space="0" w:color="969696"/>
              <w:right w:val="single" w:sz="4" w:space="0" w:color="969696"/>
            </w:tcBorders>
            <w:shd w:val="clear" w:color="000000" w:fill="FFFFFF"/>
            <w:hideMark/>
          </w:tcPr>
          <w:p w:rsidR="008B1E8A" w:rsidRPr="008B1E8A" w:rsidRDefault="008B1E8A" w:rsidP="008B1E8A">
            <w:pPr>
              <w:spacing w:after="0" w:line="240" w:lineRule="auto"/>
              <w:jc w:val="right"/>
              <w:rPr>
                <w:rFonts w:eastAsia="Times New Roman" w:cstheme="minorHAnsi"/>
                <w:lang w:eastAsia="en-GB"/>
              </w:rPr>
            </w:pPr>
            <w:r w:rsidRPr="008B1E8A">
              <w:rPr>
                <w:rFonts w:eastAsia="Times New Roman" w:cstheme="minorHAnsi"/>
                <w:lang w:eastAsia="en-GB"/>
              </w:rPr>
              <w:t>£15.08</w:t>
            </w:r>
          </w:p>
        </w:tc>
        <w:tc>
          <w:tcPr>
            <w:tcW w:w="1849" w:type="dxa"/>
            <w:tcBorders>
              <w:top w:val="single" w:sz="4" w:space="0" w:color="969696"/>
              <w:left w:val="single" w:sz="4" w:space="0" w:color="969696"/>
              <w:bottom w:val="single" w:sz="4" w:space="0" w:color="969696"/>
              <w:right w:val="single" w:sz="4" w:space="0" w:color="969696"/>
            </w:tcBorders>
            <w:shd w:val="clear" w:color="auto" w:fill="B8CCE4" w:themeFill="accent1" w:themeFillTint="66"/>
            <w:vAlign w:val="center"/>
          </w:tcPr>
          <w:p w:rsidR="008B1E8A" w:rsidRPr="008B1E8A" w:rsidRDefault="008B1E8A" w:rsidP="008B1E8A">
            <w:pPr>
              <w:spacing w:after="0" w:line="240" w:lineRule="auto"/>
              <w:jc w:val="right"/>
              <w:rPr>
                <w:rFonts w:eastAsia="Times New Roman" w:cstheme="minorHAnsi"/>
                <w:color w:val="000000"/>
                <w:lang w:eastAsia="en-GB"/>
              </w:rPr>
            </w:pPr>
            <w:r w:rsidRPr="008B1E8A">
              <w:rPr>
                <w:rFonts w:eastAsia="Times New Roman" w:cstheme="minorHAnsi"/>
                <w:color w:val="000000"/>
                <w:lang w:eastAsia="en-GB"/>
              </w:rPr>
              <w:t>£17.74</w:t>
            </w:r>
          </w:p>
        </w:tc>
        <w:tc>
          <w:tcPr>
            <w:tcW w:w="1849" w:type="dxa"/>
            <w:tcBorders>
              <w:top w:val="single" w:sz="4" w:space="0" w:color="969696"/>
              <w:left w:val="single" w:sz="4" w:space="0" w:color="969696"/>
              <w:bottom w:val="single" w:sz="4" w:space="0" w:color="969696"/>
              <w:right w:val="single" w:sz="4" w:space="0" w:color="969696"/>
            </w:tcBorders>
            <w:shd w:val="clear" w:color="auto" w:fill="B8CCE4" w:themeFill="accent1" w:themeFillTint="66"/>
            <w:vAlign w:val="center"/>
          </w:tcPr>
          <w:p w:rsidR="008B1E8A" w:rsidRPr="008B1E8A" w:rsidRDefault="008B1E8A" w:rsidP="008B1E8A">
            <w:pPr>
              <w:spacing w:after="0" w:line="240" w:lineRule="auto"/>
              <w:jc w:val="right"/>
              <w:rPr>
                <w:rFonts w:eastAsia="Times New Roman" w:cstheme="minorHAnsi"/>
                <w:color w:val="000000"/>
                <w:lang w:eastAsia="en-GB"/>
              </w:rPr>
            </w:pPr>
            <w:r w:rsidRPr="008B1E8A">
              <w:rPr>
                <w:rFonts w:eastAsia="Times New Roman" w:cstheme="minorHAnsi"/>
                <w:color w:val="000000"/>
                <w:lang w:eastAsia="en-GB"/>
              </w:rPr>
              <w:t>£15.89</w:t>
            </w:r>
          </w:p>
        </w:tc>
      </w:tr>
      <w:tr w:rsidR="008B1E8A" w:rsidRPr="001108D9" w:rsidTr="00D067E4">
        <w:trPr>
          <w:trHeight w:val="147"/>
        </w:trPr>
        <w:tc>
          <w:tcPr>
            <w:tcW w:w="2127" w:type="dxa"/>
            <w:tcBorders>
              <w:top w:val="nil"/>
              <w:left w:val="single" w:sz="4" w:space="0" w:color="969696"/>
              <w:bottom w:val="single" w:sz="4" w:space="0" w:color="969696"/>
              <w:right w:val="nil"/>
            </w:tcBorders>
            <w:shd w:val="clear" w:color="000000" w:fill="9BC2E6"/>
            <w:hideMark/>
          </w:tcPr>
          <w:p w:rsidR="008B1E8A" w:rsidRPr="008B1E8A" w:rsidRDefault="008B1E8A" w:rsidP="008B1E8A">
            <w:pPr>
              <w:spacing w:after="0" w:line="240" w:lineRule="auto"/>
              <w:rPr>
                <w:rFonts w:eastAsia="Times New Roman" w:cstheme="minorHAnsi"/>
                <w:b/>
                <w:bCs/>
                <w:lang w:eastAsia="en-GB"/>
              </w:rPr>
            </w:pPr>
            <w:r w:rsidRPr="008B1E8A">
              <w:rPr>
                <w:rFonts w:eastAsia="Times New Roman" w:cstheme="minorHAnsi"/>
                <w:b/>
                <w:bCs/>
                <w:lang w:eastAsia="en-GB"/>
              </w:rPr>
              <w:t>Difference</w:t>
            </w:r>
          </w:p>
        </w:tc>
        <w:tc>
          <w:tcPr>
            <w:tcW w:w="1729" w:type="dxa"/>
            <w:tcBorders>
              <w:top w:val="nil"/>
              <w:left w:val="single" w:sz="4" w:space="0" w:color="969696"/>
              <w:bottom w:val="single" w:sz="4" w:space="0" w:color="969696"/>
              <w:right w:val="nil"/>
            </w:tcBorders>
            <w:shd w:val="clear" w:color="000000" w:fill="FFFFFF"/>
            <w:hideMark/>
          </w:tcPr>
          <w:p w:rsidR="008B1E8A" w:rsidRPr="008B1E8A" w:rsidRDefault="008B1E8A" w:rsidP="008B1E8A">
            <w:pPr>
              <w:spacing w:after="0" w:line="240" w:lineRule="auto"/>
              <w:jc w:val="right"/>
              <w:rPr>
                <w:rFonts w:eastAsia="Times New Roman" w:cstheme="minorHAnsi"/>
                <w:lang w:eastAsia="en-GB"/>
              </w:rPr>
            </w:pPr>
            <w:r w:rsidRPr="008B1E8A">
              <w:rPr>
                <w:rFonts w:eastAsia="Times New Roman" w:cstheme="minorHAnsi"/>
                <w:lang w:eastAsia="en-GB"/>
              </w:rPr>
              <w:t>£6.77</w:t>
            </w:r>
          </w:p>
        </w:tc>
        <w:tc>
          <w:tcPr>
            <w:tcW w:w="1934" w:type="dxa"/>
            <w:tcBorders>
              <w:top w:val="nil"/>
              <w:left w:val="single" w:sz="4" w:space="0" w:color="969696"/>
              <w:bottom w:val="single" w:sz="4" w:space="0" w:color="969696"/>
              <w:right w:val="single" w:sz="4" w:space="0" w:color="969696"/>
            </w:tcBorders>
            <w:shd w:val="clear" w:color="000000" w:fill="FFFFFF"/>
            <w:hideMark/>
          </w:tcPr>
          <w:p w:rsidR="008B1E8A" w:rsidRPr="008B1E8A" w:rsidRDefault="008B1E8A" w:rsidP="008B1E8A">
            <w:pPr>
              <w:spacing w:after="0" w:line="240" w:lineRule="auto"/>
              <w:jc w:val="right"/>
              <w:rPr>
                <w:rFonts w:eastAsia="Times New Roman" w:cstheme="minorHAnsi"/>
                <w:lang w:eastAsia="en-GB"/>
              </w:rPr>
            </w:pPr>
            <w:r w:rsidRPr="008B1E8A">
              <w:rPr>
                <w:rFonts w:eastAsia="Times New Roman" w:cstheme="minorHAnsi"/>
                <w:lang w:eastAsia="en-GB"/>
              </w:rPr>
              <w:t>£3.94</w:t>
            </w:r>
          </w:p>
        </w:tc>
        <w:tc>
          <w:tcPr>
            <w:tcW w:w="1849" w:type="dxa"/>
            <w:tcBorders>
              <w:top w:val="single" w:sz="4" w:space="0" w:color="969696"/>
              <w:left w:val="single" w:sz="4" w:space="0" w:color="969696"/>
              <w:bottom w:val="single" w:sz="4" w:space="0" w:color="969696"/>
              <w:right w:val="single" w:sz="4" w:space="0" w:color="969696"/>
            </w:tcBorders>
            <w:shd w:val="clear" w:color="auto" w:fill="B8CCE4" w:themeFill="accent1" w:themeFillTint="66"/>
            <w:vAlign w:val="center"/>
          </w:tcPr>
          <w:p w:rsidR="008B1E8A" w:rsidRPr="008B1E8A" w:rsidRDefault="008B1E8A" w:rsidP="008B1E8A">
            <w:pPr>
              <w:spacing w:after="0" w:line="240" w:lineRule="auto"/>
              <w:jc w:val="right"/>
              <w:rPr>
                <w:rFonts w:eastAsia="Times New Roman" w:cstheme="minorHAnsi"/>
                <w:color w:val="000000"/>
                <w:lang w:eastAsia="en-GB"/>
              </w:rPr>
            </w:pPr>
            <w:r w:rsidRPr="008B1E8A">
              <w:rPr>
                <w:rFonts w:eastAsia="Times New Roman" w:cstheme="minorHAnsi"/>
                <w:color w:val="000000"/>
                <w:lang w:eastAsia="en-GB"/>
              </w:rPr>
              <w:t>£6.62</w:t>
            </w:r>
          </w:p>
        </w:tc>
        <w:tc>
          <w:tcPr>
            <w:tcW w:w="1849" w:type="dxa"/>
            <w:tcBorders>
              <w:top w:val="single" w:sz="4" w:space="0" w:color="969696"/>
              <w:left w:val="single" w:sz="4" w:space="0" w:color="969696"/>
              <w:bottom w:val="single" w:sz="4" w:space="0" w:color="969696"/>
              <w:right w:val="single" w:sz="4" w:space="0" w:color="969696"/>
            </w:tcBorders>
            <w:shd w:val="clear" w:color="auto" w:fill="B8CCE4" w:themeFill="accent1" w:themeFillTint="66"/>
            <w:vAlign w:val="center"/>
          </w:tcPr>
          <w:p w:rsidR="008B1E8A" w:rsidRPr="008B1E8A" w:rsidRDefault="008B1E8A" w:rsidP="008B1E8A">
            <w:pPr>
              <w:spacing w:after="0" w:line="240" w:lineRule="auto"/>
              <w:jc w:val="right"/>
              <w:rPr>
                <w:rFonts w:eastAsia="Times New Roman" w:cstheme="minorHAnsi"/>
                <w:color w:val="000000"/>
                <w:lang w:eastAsia="en-GB"/>
              </w:rPr>
            </w:pPr>
            <w:r w:rsidRPr="008B1E8A">
              <w:rPr>
                <w:rFonts w:eastAsia="Times New Roman" w:cstheme="minorHAnsi"/>
                <w:color w:val="000000"/>
                <w:lang w:eastAsia="en-GB"/>
              </w:rPr>
              <w:t>£3.62</w:t>
            </w:r>
          </w:p>
        </w:tc>
      </w:tr>
      <w:tr w:rsidR="008B1E8A" w:rsidRPr="001108D9" w:rsidTr="00D067E4">
        <w:trPr>
          <w:trHeight w:val="287"/>
        </w:trPr>
        <w:tc>
          <w:tcPr>
            <w:tcW w:w="2127" w:type="dxa"/>
            <w:tcBorders>
              <w:top w:val="nil"/>
              <w:left w:val="single" w:sz="4" w:space="0" w:color="969696"/>
              <w:bottom w:val="single" w:sz="4" w:space="0" w:color="969696"/>
              <w:right w:val="nil"/>
            </w:tcBorders>
            <w:shd w:val="clear" w:color="000000" w:fill="9BC2E6"/>
            <w:hideMark/>
          </w:tcPr>
          <w:p w:rsidR="008B1E8A" w:rsidRPr="008B1E8A" w:rsidRDefault="008B1E8A" w:rsidP="008B1E8A">
            <w:pPr>
              <w:spacing w:after="0" w:line="240" w:lineRule="auto"/>
              <w:rPr>
                <w:rFonts w:eastAsia="Times New Roman" w:cstheme="minorHAnsi"/>
                <w:b/>
                <w:bCs/>
                <w:lang w:eastAsia="en-GB"/>
              </w:rPr>
            </w:pPr>
            <w:r w:rsidRPr="008B1E8A">
              <w:rPr>
                <w:rFonts w:eastAsia="Times New Roman" w:cstheme="minorHAnsi"/>
                <w:b/>
                <w:bCs/>
                <w:lang w:eastAsia="en-GB"/>
              </w:rPr>
              <w:t>Pay Gap %</w:t>
            </w:r>
          </w:p>
        </w:tc>
        <w:tc>
          <w:tcPr>
            <w:tcW w:w="1729" w:type="dxa"/>
            <w:tcBorders>
              <w:top w:val="single" w:sz="4" w:space="0" w:color="969696"/>
              <w:left w:val="single" w:sz="4" w:space="0" w:color="969696"/>
              <w:bottom w:val="single" w:sz="4" w:space="0" w:color="969696"/>
              <w:right w:val="nil"/>
            </w:tcBorders>
            <w:shd w:val="clear" w:color="000000" w:fill="C6D9F1" w:themeFill="text2" w:themeFillTint="33"/>
            <w:hideMark/>
          </w:tcPr>
          <w:p w:rsidR="008B1E8A" w:rsidRPr="008B1E8A" w:rsidRDefault="008B1E8A" w:rsidP="008B1E8A">
            <w:pPr>
              <w:spacing w:after="0" w:line="240" w:lineRule="auto"/>
              <w:jc w:val="right"/>
              <w:rPr>
                <w:rFonts w:eastAsia="Times New Roman" w:cstheme="minorHAnsi"/>
                <w:b/>
                <w:lang w:eastAsia="en-GB"/>
              </w:rPr>
            </w:pPr>
            <w:r w:rsidRPr="008B1E8A">
              <w:rPr>
                <w:rFonts w:eastAsia="Times New Roman" w:cstheme="minorHAnsi"/>
                <w:b/>
                <w:lang w:eastAsia="en-GB"/>
              </w:rPr>
              <w:t>28.46%</w:t>
            </w:r>
          </w:p>
        </w:tc>
        <w:tc>
          <w:tcPr>
            <w:tcW w:w="1934" w:type="dxa"/>
            <w:tcBorders>
              <w:top w:val="single" w:sz="4" w:space="0" w:color="969696"/>
              <w:left w:val="single" w:sz="4" w:space="0" w:color="969696"/>
              <w:bottom w:val="single" w:sz="4" w:space="0" w:color="969696"/>
              <w:right w:val="single" w:sz="4" w:space="0" w:color="969696"/>
            </w:tcBorders>
            <w:shd w:val="clear" w:color="000000" w:fill="C6D9F1" w:themeFill="text2" w:themeFillTint="33"/>
            <w:hideMark/>
          </w:tcPr>
          <w:p w:rsidR="008B1E8A" w:rsidRPr="008B1E8A" w:rsidRDefault="008B1E8A" w:rsidP="008B1E8A">
            <w:pPr>
              <w:spacing w:after="0" w:line="240" w:lineRule="auto"/>
              <w:jc w:val="right"/>
              <w:rPr>
                <w:rFonts w:eastAsia="Times New Roman" w:cstheme="minorHAnsi"/>
                <w:b/>
                <w:lang w:eastAsia="en-GB"/>
              </w:rPr>
            </w:pPr>
            <w:r w:rsidRPr="008B1E8A">
              <w:rPr>
                <w:rFonts w:eastAsia="Times New Roman" w:cstheme="minorHAnsi"/>
                <w:b/>
                <w:lang w:eastAsia="en-GB"/>
              </w:rPr>
              <w:t>20.71%</w:t>
            </w:r>
          </w:p>
        </w:tc>
        <w:tc>
          <w:tcPr>
            <w:tcW w:w="1849" w:type="dxa"/>
            <w:tcBorders>
              <w:top w:val="single" w:sz="4" w:space="0" w:color="969696"/>
              <w:left w:val="single" w:sz="4" w:space="0" w:color="969696"/>
              <w:bottom w:val="single" w:sz="4" w:space="0" w:color="969696"/>
              <w:right w:val="single" w:sz="4" w:space="0" w:color="969696"/>
            </w:tcBorders>
            <w:shd w:val="clear" w:color="auto" w:fill="B8CCE4" w:themeFill="accent1" w:themeFillTint="66"/>
            <w:vAlign w:val="center"/>
          </w:tcPr>
          <w:p w:rsidR="008B1E8A" w:rsidRPr="008B1E8A" w:rsidRDefault="008B1E8A" w:rsidP="008B1E8A">
            <w:pPr>
              <w:spacing w:after="0" w:line="240" w:lineRule="auto"/>
              <w:jc w:val="right"/>
              <w:rPr>
                <w:rFonts w:eastAsia="Times New Roman" w:cstheme="minorHAnsi"/>
                <w:color w:val="000000"/>
                <w:lang w:eastAsia="en-GB"/>
              </w:rPr>
            </w:pPr>
            <w:r w:rsidRPr="008B1E8A">
              <w:rPr>
                <w:rFonts w:eastAsia="Times New Roman" w:cstheme="minorHAnsi"/>
                <w:color w:val="000000"/>
                <w:lang w:eastAsia="en-GB"/>
              </w:rPr>
              <w:t>27.2%</w:t>
            </w:r>
          </w:p>
        </w:tc>
        <w:tc>
          <w:tcPr>
            <w:tcW w:w="1849" w:type="dxa"/>
            <w:tcBorders>
              <w:top w:val="single" w:sz="4" w:space="0" w:color="969696"/>
              <w:left w:val="single" w:sz="4" w:space="0" w:color="969696"/>
              <w:bottom w:val="single" w:sz="4" w:space="0" w:color="969696"/>
              <w:right w:val="single" w:sz="4" w:space="0" w:color="969696"/>
            </w:tcBorders>
            <w:shd w:val="clear" w:color="auto" w:fill="B8CCE4" w:themeFill="accent1" w:themeFillTint="66"/>
            <w:vAlign w:val="center"/>
          </w:tcPr>
          <w:p w:rsidR="008B1E8A" w:rsidRPr="008B1E8A" w:rsidRDefault="008B1E8A" w:rsidP="008B1E8A">
            <w:pPr>
              <w:spacing w:after="0" w:line="240" w:lineRule="auto"/>
              <w:jc w:val="right"/>
              <w:rPr>
                <w:rFonts w:eastAsia="Times New Roman" w:cstheme="minorHAnsi"/>
                <w:color w:val="000000"/>
                <w:lang w:eastAsia="en-GB"/>
              </w:rPr>
            </w:pPr>
            <w:r w:rsidRPr="008B1E8A">
              <w:rPr>
                <w:rFonts w:eastAsia="Times New Roman" w:cstheme="minorHAnsi"/>
                <w:color w:val="000000"/>
                <w:lang w:eastAsia="en-GB"/>
              </w:rPr>
              <w:t>18.5%</w:t>
            </w:r>
          </w:p>
        </w:tc>
      </w:tr>
    </w:tbl>
    <w:p w:rsidR="008B1E8A" w:rsidRPr="00D067E4" w:rsidRDefault="008B1E8A" w:rsidP="00835ABE">
      <w:pPr>
        <w:spacing w:after="0"/>
        <w:rPr>
          <w:rFonts w:ascii="Arial" w:hAnsi="Arial" w:cs="Arial"/>
          <w:b/>
          <w:bCs/>
          <w:color w:val="FF0000"/>
          <w:sz w:val="16"/>
          <w:szCs w:val="16"/>
        </w:rPr>
      </w:pPr>
    </w:p>
    <w:p w:rsidR="00D067E4" w:rsidRDefault="00D067E4" w:rsidP="00835ABE">
      <w:pPr>
        <w:spacing w:after="0"/>
        <w:rPr>
          <w:rFonts w:ascii="Arial" w:hAnsi="Arial" w:cs="Arial"/>
          <w:b/>
          <w:bCs/>
        </w:rPr>
      </w:pPr>
    </w:p>
    <w:p w:rsidR="00835ABE" w:rsidRPr="008B1E8A" w:rsidRDefault="00835ABE" w:rsidP="00835ABE">
      <w:pPr>
        <w:spacing w:after="0"/>
        <w:rPr>
          <w:rFonts w:ascii="Arial" w:hAnsi="Arial" w:cs="Arial"/>
          <w:b/>
          <w:bCs/>
        </w:rPr>
      </w:pPr>
      <w:r w:rsidRPr="008B1E8A">
        <w:rPr>
          <w:rFonts w:ascii="Arial" w:hAnsi="Arial" w:cs="Arial"/>
          <w:b/>
          <w:bCs/>
        </w:rPr>
        <w:t xml:space="preserve">MEDIAN HOURLY RATE PAY GAPS 2017 to 2021 for BH and LDH – 2021 for BHFT </w:t>
      </w:r>
    </w:p>
    <w:p w:rsidR="00D067E4" w:rsidRDefault="00D067E4" w:rsidP="00BF4DE8">
      <w:pPr>
        <w:spacing w:after="0" w:line="240" w:lineRule="auto"/>
        <w:rPr>
          <w:rFonts w:ascii="Arial" w:hAnsi="Arial" w:cs="Arial"/>
          <w:bCs/>
        </w:rPr>
      </w:pPr>
    </w:p>
    <w:p w:rsidR="00835ABE" w:rsidRDefault="00835ABE" w:rsidP="00BF4DE8">
      <w:pPr>
        <w:spacing w:after="0" w:line="240" w:lineRule="auto"/>
        <w:rPr>
          <w:rFonts w:ascii="Arial" w:hAnsi="Arial" w:cs="Arial"/>
          <w:bCs/>
        </w:rPr>
      </w:pPr>
      <w:r w:rsidRPr="008B1E8A">
        <w:rPr>
          <w:rFonts w:ascii="Arial" w:hAnsi="Arial" w:cs="Arial"/>
          <w:bCs/>
        </w:rPr>
        <w:t>T</w:t>
      </w:r>
      <w:r w:rsidRPr="00D067E4">
        <w:rPr>
          <w:rFonts w:ascii="Arial" w:hAnsi="Arial" w:cs="Arial"/>
          <w:b/>
          <w:bCs/>
        </w:rPr>
        <w:t>he chart below shows median hourly rate trends for BH and LDH where the rate:</w:t>
      </w:r>
      <w:r w:rsidRPr="008B1E8A">
        <w:rPr>
          <w:rFonts w:ascii="Arial" w:hAnsi="Arial" w:cs="Arial"/>
          <w:bCs/>
        </w:rPr>
        <w:t xml:space="preserve"> </w:t>
      </w:r>
    </w:p>
    <w:p w:rsidR="00D067E4" w:rsidRPr="008B1E8A" w:rsidRDefault="00D067E4" w:rsidP="00BF4DE8">
      <w:pPr>
        <w:spacing w:after="0" w:line="240" w:lineRule="auto"/>
        <w:rPr>
          <w:rFonts w:ascii="Arial" w:hAnsi="Arial" w:cs="Arial"/>
          <w:bCs/>
        </w:rPr>
      </w:pPr>
    </w:p>
    <w:p w:rsidR="00835ABE" w:rsidRPr="008B1E8A" w:rsidRDefault="00835ABE" w:rsidP="004135C2">
      <w:pPr>
        <w:pStyle w:val="ListParagraph"/>
        <w:numPr>
          <w:ilvl w:val="0"/>
          <w:numId w:val="1"/>
        </w:numPr>
        <w:spacing w:after="0" w:line="240" w:lineRule="auto"/>
        <w:rPr>
          <w:rFonts w:ascii="Arial" w:hAnsi="Arial" w:cs="Arial"/>
          <w:bCs/>
        </w:rPr>
      </w:pPr>
      <w:r w:rsidRPr="008B1E8A">
        <w:rPr>
          <w:rFonts w:ascii="Arial" w:hAnsi="Arial" w:cs="Arial"/>
          <w:bCs/>
        </w:rPr>
        <w:t>Is lower for Male at BH than Male at LDH – in 2017 by £1.43 and 2021 by £2.00</w:t>
      </w:r>
    </w:p>
    <w:p w:rsidR="00835ABE" w:rsidRPr="008B1E8A" w:rsidRDefault="00835ABE" w:rsidP="004135C2">
      <w:pPr>
        <w:pStyle w:val="ListParagraph"/>
        <w:numPr>
          <w:ilvl w:val="0"/>
          <w:numId w:val="1"/>
        </w:numPr>
        <w:spacing w:after="0" w:line="240" w:lineRule="auto"/>
        <w:rPr>
          <w:rFonts w:ascii="Arial" w:hAnsi="Arial" w:cs="Arial"/>
          <w:bCs/>
        </w:rPr>
      </w:pPr>
      <w:r w:rsidRPr="008B1E8A">
        <w:rPr>
          <w:rFonts w:ascii="Arial" w:hAnsi="Arial" w:cs="Arial"/>
          <w:bCs/>
        </w:rPr>
        <w:t>Is lower for female at BH than female at LDH – in 2017 by £0.32 and 2021 by £1.37</w:t>
      </w:r>
    </w:p>
    <w:p w:rsidR="00D067E4" w:rsidRDefault="00D067E4" w:rsidP="00D067E4">
      <w:pPr>
        <w:spacing w:after="0" w:line="240" w:lineRule="auto"/>
        <w:rPr>
          <w:rFonts w:ascii="Arial" w:hAnsi="Arial" w:cs="Arial"/>
          <w:b/>
          <w:bCs/>
        </w:rPr>
      </w:pPr>
    </w:p>
    <w:p w:rsidR="00D067E4" w:rsidRDefault="00D067E4" w:rsidP="00D067E4">
      <w:pPr>
        <w:spacing w:after="0" w:line="240" w:lineRule="auto"/>
        <w:rPr>
          <w:rFonts w:ascii="Arial" w:hAnsi="Arial" w:cs="Arial"/>
          <w:b/>
          <w:bCs/>
        </w:rPr>
      </w:pPr>
      <w:r w:rsidRPr="00D067E4">
        <w:rPr>
          <w:rFonts w:ascii="Arial" w:hAnsi="Arial" w:cs="Arial"/>
          <w:b/>
          <w:bCs/>
        </w:rPr>
        <w:t>In terms of male to female pay in 2017 and 2021:</w:t>
      </w:r>
    </w:p>
    <w:p w:rsidR="00D067E4" w:rsidRPr="00D067E4" w:rsidRDefault="00D067E4" w:rsidP="00D067E4">
      <w:pPr>
        <w:spacing w:after="0" w:line="240" w:lineRule="auto"/>
        <w:rPr>
          <w:rFonts w:ascii="Arial" w:hAnsi="Arial" w:cs="Arial"/>
          <w:b/>
          <w:bCs/>
        </w:rPr>
      </w:pPr>
    </w:p>
    <w:p w:rsidR="00D067E4" w:rsidRPr="008B1E8A" w:rsidRDefault="00D067E4" w:rsidP="004135C2">
      <w:pPr>
        <w:pStyle w:val="ListParagraph"/>
        <w:numPr>
          <w:ilvl w:val="0"/>
          <w:numId w:val="1"/>
        </w:numPr>
        <w:spacing w:after="0" w:line="240" w:lineRule="auto"/>
        <w:rPr>
          <w:rFonts w:ascii="Arial" w:hAnsi="Arial" w:cs="Arial"/>
          <w:bCs/>
        </w:rPr>
      </w:pPr>
      <w:r w:rsidRPr="008B1E8A">
        <w:rPr>
          <w:rFonts w:ascii="Arial" w:hAnsi="Arial" w:cs="Arial"/>
          <w:bCs/>
        </w:rPr>
        <w:t xml:space="preserve">BH females received £1.78 less an hour in 2017 and £3.09 less in 2021 than BH male </w:t>
      </w:r>
    </w:p>
    <w:p w:rsidR="00835ABE" w:rsidRPr="00D067E4" w:rsidRDefault="00D067E4" w:rsidP="004135C2">
      <w:pPr>
        <w:pStyle w:val="ListParagraph"/>
        <w:numPr>
          <w:ilvl w:val="0"/>
          <w:numId w:val="1"/>
        </w:numPr>
        <w:spacing w:after="0" w:line="240" w:lineRule="auto"/>
        <w:rPr>
          <w:rFonts w:ascii="Arial" w:hAnsi="Arial" w:cs="Arial"/>
          <w:bCs/>
          <w:color w:val="FF0000"/>
        </w:rPr>
      </w:pPr>
      <w:r w:rsidRPr="00D067E4">
        <w:rPr>
          <w:rFonts w:ascii="Arial" w:hAnsi="Arial" w:cs="Arial"/>
          <w:bCs/>
        </w:rPr>
        <w:t>LDH females received £2.89 less an hour in 2017 and £3.72 less in 2021 than LDH male.</w:t>
      </w:r>
    </w:p>
    <w:p w:rsidR="002F1B03" w:rsidRPr="001108D9" w:rsidRDefault="00835ABE" w:rsidP="008A2632">
      <w:pPr>
        <w:rPr>
          <w:rFonts w:ascii="Arial" w:hAnsi="Arial" w:cs="Arial"/>
          <w:b/>
          <w:color w:val="FF0000"/>
          <w:highlight w:val="lightGray"/>
        </w:rPr>
      </w:pPr>
      <w:r w:rsidRPr="001108D9">
        <w:rPr>
          <w:noProof/>
          <w:color w:val="FF0000"/>
          <w:lang w:eastAsia="en-GB"/>
        </w:rPr>
        <w:drawing>
          <wp:inline distT="0" distB="0" distL="0" distR="0" wp14:anchorId="38639982" wp14:editId="38CAD1E2">
            <wp:extent cx="6036945" cy="2057400"/>
            <wp:effectExtent l="0" t="0" r="19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5818" w:rsidRDefault="00E15818" w:rsidP="008A2632">
      <w:pPr>
        <w:rPr>
          <w:rFonts w:ascii="Arial" w:hAnsi="Arial" w:cs="Arial"/>
          <w:b/>
          <w:highlight w:val="lightGray"/>
        </w:rPr>
      </w:pPr>
    </w:p>
    <w:p w:rsidR="002F1B03" w:rsidRPr="008B1E8A" w:rsidRDefault="002F1B03" w:rsidP="008A2632">
      <w:pPr>
        <w:rPr>
          <w:rFonts w:ascii="Arial" w:hAnsi="Arial" w:cs="Arial"/>
          <w:b/>
          <w:highlight w:val="lightGray"/>
        </w:rPr>
      </w:pPr>
      <w:r w:rsidRPr="008B1E8A">
        <w:rPr>
          <w:rFonts w:ascii="Arial" w:hAnsi="Arial" w:cs="Arial"/>
          <w:b/>
          <w:highlight w:val="lightGray"/>
        </w:rPr>
        <w:t xml:space="preserve">PAY GAPS </w:t>
      </w:r>
      <w:r w:rsidR="004A510A" w:rsidRPr="008B1E8A">
        <w:rPr>
          <w:rFonts w:ascii="Arial" w:hAnsi="Arial" w:cs="Arial"/>
          <w:b/>
          <w:highlight w:val="lightGray"/>
        </w:rPr>
        <w:t xml:space="preserve">– for </w:t>
      </w:r>
      <w:r w:rsidRPr="008B1E8A">
        <w:rPr>
          <w:rFonts w:ascii="Arial" w:hAnsi="Arial" w:cs="Arial"/>
          <w:b/>
          <w:highlight w:val="lightGray"/>
        </w:rPr>
        <w:t xml:space="preserve">SITE </w:t>
      </w:r>
      <w:r w:rsidR="001462F2" w:rsidRPr="008B1E8A">
        <w:rPr>
          <w:rFonts w:ascii="Arial" w:hAnsi="Arial" w:cs="Arial"/>
          <w:b/>
          <w:highlight w:val="lightGray"/>
        </w:rPr>
        <w:t xml:space="preserve">results over </w:t>
      </w:r>
      <w:r w:rsidRPr="008B1E8A">
        <w:rPr>
          <w:rFonts w:ascii="Arial" w:hAnsi="Arial" w:cs="Arial"/>
          <w:b/>
          <w:highlight w:val="lightGray"/>
        </w:rPr>
        <w:t>5 years</w:t>
      </w:r>
      <w:r w:rsidR="001462F2" w:rsidRPr="008B1E8A">
        <w:rPr>
          <w:rFonts w:ascii="Arial" w:hAnsi="Arial" w:cs="Arial"/>
          <w:b/>
          <w:highlight w:val="lightGray"/>
        </w:rPr>
        <w:t xml:space="preserve"> 2017 to 2021 - see page 6</w:t>
      </w:r>
      <w:r w:rsidRPr="008B1E8A">
        <w:rPr>
          <w:rFonts w:ascii="Arial" w:hAnsi="Arial" w:cs="Arial"/>
          <w:b/>
          <w:highlight w:val="lightGray"/>
        </w:rPr>
        <w:t xml:space="preserve"> </w:t>
      </w:r>
    </w:p>
    <w:p w:rsidR="003A1B08" w:rsidRDefault="002F1B03" w:rsidP="002F1B03">
      <w:pPr>
        <w:spacing w:after="0"/>
        <w:rPr>
          <w:rFonts w:ascii="Arial" w:hAnsi="Arial" w:cs="Arial"/>
          <w:b/>
          <w:bCs/>
        </w:rPr>
      </w:pPr>
      <w:r w:rsidRPr="0013038B">
        <w:rPr>
          <w:rFonts w:ascii="Arial" w:hAnsi="Arial" w:cs="Arial"/>
          <w:b/>
          <w:bCs/>
          <w:highlight w:val="lightGray"/>
        </w:rPr>
        <w:t>Gender in Pay Quartiles 2017 to 202</w:t>
      </w:r>
      <w:r w:rsidR="003A1B08" w:rsidRPr="0013038B">
        <w:rPr>
          <w:rFonts w:ascii="Arial" w:hAnsi="Arial" w:cs="Arial"/>
          <w:b/>
          <w:bCs/>
          <w:highlight w:val="lightGray"/>
        </w:rPr>
        <w:t>1</w:t>
      </w:r>
      <w:r w:rsidRPr="0013038B">
        <w:rPr>
          <w:rFonts w:ascii="Arial" w:hAnsi="Arial" w:cs="Arial"/>
          <w:b/>
          <w:bCs/>
          <w:highlight w:val="lightGray"/>
        </w:rPr>
        <w:t xml:space="preserve"> reports</w:t>
      </w:r>
      <w:r w:rsidRPr="0013038B">
        <w:rPr>
          <w:rFonts w:ascii="Arial" w:hAnsi="Arial" w:cs="Arial"/>
          <w:b/>
          <w:bCs/>
        </w:rPr>
        <w:t xml:space="preserve"> </w:t>
      </w:r>
    </w:p>
    <w:p w:rsidR="00E15818" w:rsidRPr="0013038B" w:rsidRDefault="00E15818" w:rsidP="002F1B03">
      <w:pPr>
        <w:spacing w:after="0"/>
        <w:rPr>
          <w:rFonts w:ascii="Arial" w:hAnsi="Arial" w:cs="Arial"/>
          <w:b/>
          <w:bCs/>
        </w:rPr>
      </w:pPr>
    </w:p>
    <w:p w:rsidR="003A1B08" w:rsidRPr="00E15818" w:rsidRDefault="00832692" w:rsidP="004135C2">
      <w:pPr>
        <w:pStyle w:val="ListParagraph"/>
        <w:numPr>
          <w:ilvl w:val="0"/>
          <w:numId w:val="12"/>
        </w:numPr>
        <w:spacing w:after="0"/>
        <w:rPr>
          <w:rFonts w:ascii="Arial" w:eastAsia="Times New Roman" w:hAnsi="Arial" w:cs="Arial"/>
          <w:bCs/>
          <w:lang w:eastAsia="en-GB"/>
        </w:rPr>
      </w:pPr>
      <w:r w:rsidRPr="00E15818">
        <w:rPr>
          <w:rFonts w:ascii="Arial" w:eastAsia="Times New Roman" w:hAnsi="Arial" w:cs="Arial"/>
          <w:bCs/>
          <w:lang w:eastAsia="en-GB"/>
        </w:rPr>
        <w:t>LDH w</w:t>
      </w:r>
      <w:r w:rsidR="002F1B03" w:rsidRPr="00E15818">
        <w:rPr>
          <w:rFonts w:ascii="Arial" w:eastAsia="Times New Roman" w:hAnsi="Arial" w:cs="Arial"/>
          <w:bCs/>
          <w:lang w:eastAsia="en-GB"/>
        </w:rPr>
        <w:t>orkforce increased 1</w:t>
      </w:r>
      <w:r w:rsidR="003A1B08" w:rsidRPr="00E15818">
        <w:rPr>
          <w:rFonts w:ascii="Arial" w:eastAsia="Times New Roman" w:hAnsi="Arial" w:cs="Arial"/>
          <w:bCs/>
          <w:lang w:eastAsia="en-GB"/>
        </w:rPr>
        <w:t>6% in the 5</w:t>
      </w:r>
      <w:r w:rsidR="002F1B03" w:rsidRPr="00E15818">
        <w:rPr>
          <w:rFonts w:ascii="Arial" w:eastAsia="Times New Roman" w:hAnsi="Arial" w:cs="Arial"/>
          <w:bCs/>
          <w:lang w:eastAsia="en-GB"/>
        </w:rPr>
        <w:t xml:space="preserve"> years</w:t>
      </w:r>
      <w:r w:rsidR="003A1B08" w:rsidRPr="00E15818">
        <w:rPr>
          <w:rFonts w:ascii="Arial" w:eastAsia="Times New Roman" w:hAnsi="Arial" w:cs="Arial"/>
          <w:bCs/>
          <w:lang w:eastAsia="en-GB"/>
        </w:rPr>
        <w:t xml:space="preserve"> </w:t>
      </w:r>
      <w:r w:rsidR="00E15818" w:rsidRPr="00E15818">
        <w:rPr>
          <w:rFonts w:ascii="Arial" w:eastAsia="Times New Roman" w:hAnsi="Arial" w:cs="Arial"/>
          <w:bCs/>
          <w:lang w:eastAsia="en-GB"/>
        </w:rPr>
        <w:t xml:space="preserve">of reporting. </w:t>
      </w:r>
      <w:r w:rsidR="003A1B08" w:rsidRPr="00E15818">
        <w:rPr>
          <w:rFonts w:ascii="Arial" w:eastAsia="Times New Roman" w:hAnsi="Arial" w:cs="Arial"/>
          <w:bCs/>
          <w:lang w:eastAsia="en-GB"/>
        </w:rPr>
        <w:t>BH increase was similar</w:t>
      </w:r>
      <w:r w:rsidR="002F1B03" w:rsidRPr="00E15818">
        <w:rPr>
          <w:rFonts w:ascii="Arial" w:eastAsia="Times New Roman" w:hAnsi="Arial" w:cs="Arial"/>
          <w:bCs/>
          <w:lang w:eastAsia="en-GB"/>
        </w:rPr>
        <w:t xml:space="preserve">. </w:t>
      </w:r>
      <w:r w:rsidR="003A1B08" w:rsidRPr="00E15818">
        <w:rPr>
          <w:rFonts w:ascii="Arial" w:eastAsia="Times New Roman" w:hAnsi="Arial" w:cs="Arial"/>
          <w:bCs/>
          <w:lang w:eastAsia="en-GB"/>
        </w:rPr>
        <w:t xml:space="preserve">BH </w:t>
      </w:r>
      <w:r w:rsidR="00E15818" w:rsidRPr="00E15818">
        <w:rPr>
          <w:rFonts w:ascii="Arial" w:eastAsia="Times New Roman" w:hAnsi="Arial" w:cs="Arial"/>
          <w:bCs/>
          <w:lang w:eastAsia="en-GB"/>
        </w:rPr>
        <w:t xml:space="preserve">gender </w:t>
      </w:r>
      <w:r w:rsidR="003A1B08" w:rsidRPr="00E15818">
        <w:rPr>
          <w:rFonts w:ascii="Arial" w:eastAsia="Times New Roman" w:hAnsi="Arial" w:cs="Arial"/>
          <w:bCs/>
          <w:lang w:eastAsia="en-GB"/>
        </w:rPr>
        <w:t xml:space="preserve">split female to male </w:t>
      </w:r>
      <w:r w:rsidR="00E15818" w:rsidRPr="00E15818">
        <w:rPr>
          <w:rFonts w:ascii="Arial" w:eastAsia="Times New Roman" w:hAnsi="Arial" w:cs="Arial"/>
          <w:bCs/>
          <w:lang w:eastAsia="en-GB"/>
        </w:rPr>
        <w:t xml:space="preserve">was </w:t>
      </w:r>
      <w:r w:rsidR="00F51BE6" w:rsidRPr="00E15818">
        <w:rPr>
          <w:rFonts w:ascii="Arial" w:eastAsia="Times New Roman" w:hAnsi="Arial" w:cs="Arial"/>
          <w:bCs/>
          <w:lang w:eastAsia="en-GB"/>
        </w:rPr>
        <w:t xml:space="preserve">circa </w:t>
      </w:r>
      <w:r w:rsidR="003A1B08" w:rsidRPr="00E15818">
        <w:rPr>
          <w:rFonts w:ascii="Arial" w:eastAsia="Times New Roman" w:hAnsi="Arial" w:cs="Arial"/>
          <w:bCs/>
          <w:lang w:eastAsia="en-GB"/>
        </w:rPr>
        <w:t xml:space="preserve">77% to 23% </w:t>
      </w:r>
      <w:r w:rsidR="00F51BE6" w:rsidRPr="00E15818">
        <w:rPr>
          <w:rFonts w:ascii="Arial" w:eastAsia="Times New Roman" w:hAnsi="Arial" w:cs="Arial"/>
          <w:bCs/>
          <w:lang w:eastAsia="en-GB"/>
        </w:rPr>
        <w:t xml:space="preserve">whereas LDH was circa </w:t>
      </w:r>
      <w:r w:rsidR="002F1B03" w:rsidRPr="00E15818">
        <w:rPr>
          <w:rFonts w:ascii="Arial" w:eastAsia="Times New Roman" w:hAnsi="Arial" w:cs="Arial"/>
          <w:bCs/>
          <w:lang w:eastAsia="en-GB"/>
        </w:rPr>
        <w:t xml:space="preserve">80% </w:t>
      </w:r>
      <w:r w:rsidR="00F51BE6" w:rsidRPr="00E15818">
        <w:rPr>
          <w:rFonts w:ascii="Arial" w:eastAsia="Times New Roman" w:hAnsi="Arial" w:cs="Arial"/>
          <w:bCs/>
          <w:lang w:eastAsia="en-GB"/>
        </w:rPr>
        <w:t>to 20%</w:t>
      </w:r>
      <w:r w:rsidR="003A1B08" w:rsidRPr="00E15818">
        <w:rPr>
          <w:rFonts w:ascii="Arial" w:eastAsia="Times New Roman" w:hAnsi="Arial" w:cs="Arial"/>
          <w:bCs/>
          <w:lang w:eastAsia="en-GB"/>
        </w:rPr>
        <w:t xml:space="preserve">. </w:t>
      </w:r>
    </w:p>
    <w:p w:rsidR="00E15818" w:rsidRDefault="00E15818" w:rsidP="002F1B03">
      <w:pPr>
        <w:spacing w:after="0"/>
        <w:rPr>
          <w:rFonts w:ascii="Arial" w:eastAsia="Times New Roman" w:hAnsi="Arial" w:cs="Arial"/>
          <w:bCs/>
          <w:lang w:eastAsia="en-GB"/>
        </w:rPr>
      </w:pPr>
    </w:p>
    <w:p w:rsidR="002F1B03" w:rsidRPr="00E15818" w:rsidRDefault="00E15818" w:rsidP="004135C2">
      <w:pPr>
        <w:pStyle w:val="ListParagraph"/>
        <w:numPr>
          <w:ilvl w:val="0"/>
          <w:numId w:val="12"/>
        </w:numPr>
        <w:spacing w:after="0"/>
        <w:rPr>
          <w:rFonts w:ascii="Arial" w:eastAsia="Times New Roman" w:hAnsi="Arial" w:cs="Arial"/>
          <w:bCs/>
          <w:color w:val="FF0000"/>
          <w:lang w:eastAsia="en-GB"/>
        </w:rPr>
      </w:pPr>
      <w:r w:rsidRPr="00E15818">
        <w:rPr>
          <w:rFonts w:ascii="Arial" w:eastAsia="Times New Roman" w:hAnsi="Arial" w:cs="Arial"/>
          <w:b/>
          <w:bCs/>
          <w:lang w:eastAsia="en-GB"/>
        </w:rPr>
        <w:t xml:space="preserve">Male over-representation in the Top Pay quartile is a constant -  </w:t>
      </w:r>
      <w:r w:rsidRPr="00E15818">
        <w:rPr>
          <w:rFonts w:ascii="Arial" w:eastAsia="Times New Roman" w:hAnsi="Arial" w:cs="Arial"/>
          <w:bCs/>
          <w:lang w:eastAsia="en-GB"/>
        </w:rPr>
        <w:t xml:space="preserve"> this is by up to </w:t>
      </w:r>
      <w:r w:rsidR="002F1B03" w:rsidRPr="00E15818">
        <w:rPr>
          <w:rFonts w:ascii="Arial" w:eastAsia="Times New Roman" w:hAnsi="Arial" w:cs="Arial"/>
          <w:bCs/>
          <w:lang w:eastAsia="en-GB"/>
        </w:rPr>
        <w:t xml:space="preserve">15% - </w:t>
      </w:r>
      <w:r w:rsidR="003A1B08" w:rsidRPr="00E15818">
        <w:rPr>
          <w:rFonts w:ascii="Arial" w:eastAsia="Times New Roman" w:hAnsi="Arial" w:cs="Arial"/>
          <w:bCs/>
          <w:lang w:eastAsia="en-GB"/>
        </w:rPr>
        <w:t xml:space="preserve">and </w:t>
      </w:r>
      <w:r w:rsidR="002F1B03" w:rsidRPr="00E15818">
        <w:rPr>
          <w:rFonts w:ascii="Arial" w:eastAsia="Times New Roman" w:hAnsi="Arial" w:cs="Arial"/>
          <w:bCs/>
          <w:lang w:eastAsia="en-GB"/>
        </w:rPr>
        <w:t xml:space="preserve">females </w:t>
      </w:r>
      <w:r w:rsidR="003A1B08" w:rsidRPr="00E15818">
        <w:rPr>
          <w:rFonts w:ascii="Arial" w:eastAsia="Times New Roman" w:hAnsi="Arial" w:cs="Arial"/>
          <w:bCs/>
          <w:lang w:eastAsia="en-GB"/>
        </w:rPr>
        <w:t xml:space="preserve">over represented in the </w:t>
      </w:r>
      <w:r w:rsidR="002F1B03" w:rsidRPr="00E15818">
        <w:rPr>
          <w:rFonts w:ascii="Arial" w:eastAsia="Times New Roman" w:hAnsi="Arial" w:cs="Arial"/>
          <w:bCs/>
          <w:lang w:eastAsia="en-GB"/>
        </w:rPr>
        <w:t>lower three pay quartiles at 3.8% to 4.9%.</w:t>
      </w:r>
    </w:p>
    <w:p w:rsidR="003A1B08" w:rsidRPr="001108D9" w:rsidRDefault="003A1B08" w:rsidP="002F1B03">
      <w:pPr>
        <w:spacing w:after="0"/>
        <w:rPr>
          <w:rFonts w:ascii="Arial" w:eastAsia="Times New Roman" w:hAnsi="Arial" w:cs="Arial"/>
          <w:bCs/>
          <w:color w:val="FF0000"/>
          <w:sz w:val="16"/>
          <w:szCs w:val="16"/>
          <w:lang w:eastAsia="en-GB"/>
        </w:rPr>
      </w:pPr>
    </w:p>
    <w:p w:rsidR="00ED7468" w:rsidRPr="00E15818" w:rsidRDefault="003B346A" w:rsidP="004135C2">
      <w:pPr>
        <w:pStyle w:val="ListParagraph"/>
        <w:numPr>
          <w:ilvl w:val="0"/>
          <w:numId w:val="12"/>
        </w:numPr>
        <w:spacing w:after="0" w:line="240" w:lineRule="auto"/>
        <w:rPr>
          <w:rFonts w:ascii="Arial" w:eastAsia="Times New Roman" w:hAnsi="Arial" w:cs="Arial"/>
          <w:bCs/>
          <w:lang w:eastAsia="en-GB"/>
        </w:rPr>
      </w:pPr>
      <w:r w:rsidRPr="00E15818">
        <w:rPr>
          <w:rFonts w:ascii="Arial" w:eastAsia="Times New Roman" w:hAnsi="Arial" w:cs="Arial"/>
          <w:b/>
          <w:bCs/>
          <w:lang w:eastAsia="en-GB"/>
        </w:rPr>
        <w:t>For BH top pay quartile -</w:t>
      </w:r>
      <w:r w:rsidRPr="00E15818">
        <w:rPr>
          <w:rFonts w:ascii="Arial" w:eastAsia="Times New Roman" w:hAnsi="Arial" w:cs="Arial"/>
          <w:bCs/>
          <w:lang w:eastAsia="en-GB"/>
        </w:rPr>
        <w:t xml:space="preserve"> </w:t>
      </w:r>
      <w:r w:rsidR="003A1B08" w:rsidRPr="00E15818">
        <w:rPr>
          <w:rFonts w:ascii="Arial" w:eastAsia="Times New Roman" w:hAnsi="Arial" w:cs="Arial"/>
          <w:bCs/>
          <w:lang w:eastAsia="en-GB"/>
        </w:rPr>
        <w:t xml:space="preserve">The female to male ratio </w:t>
      </w:r>
      <w:r w:rsidR="0047110D" w:rsidRPr="00E15818">
        <w:rPr>
          <w:rFonts w:ascii="Arial" w:eastAsia="Times New Roman" w:hAnsi="Arial" w:cs="Arial"/>
          <w:bCs/>
          <w:lang w:eastAsia="en-GB"/>
        </w:rPr>
        <w:t xml:space="preserve">at the top quartile </w:t>
      </w:r>
      <w:r w:rsidR="00F51BE6" w:rsidRPr="00E15818">
        <w:rPr>
          <w:rFonts w:ascii="Arial" w:eastAsia="Times New Roman" w:hAnsi="Arial" w:cs="Arial"/>
          <w:bCs/>
          <w:lang w:eastAsia="en-GB"/>
        </w:rPr>
        <w:t xml:space="preserve">was 65% to 35% </w:t>
      </w:r>
      <w:r w:rsidR="0047110D" w:rsidRPr="00E15818">
        <w:rPr>
          <w:rFonts w:ascii="Arial" w:eastAsia="Times New Roman" w:hAnsi="Arial" w:cs="Arial"/>
          <w:bCs/>
          <w:lang w:eastAsia="en-GB"/>
        </w:rPr>
        <w:t>i</w:t>
      </w:r>
      <w:r w:rsidR="00F51BE6" w:rsidRPr="00E15818">
        <w:rPr>
          <w:rFonts w:ascii="Arial" w:eastAsia="Times New Roman" w:hAnsi="Arial" w:cs="Arial"/>
          <w:bCs/>
          <w:lang w:eastAsia="en-GB"/>
        </w:rPr>
        <w:t>n 2017 and 63% to 37% in 20</w:t>
      </w:r>
      <w:r w:rsidRPr="00E15818">
        <w:rPr>
          <w:rFonts w:ascii="Arial" w:eastAsia="Times New Roman" w:hAnsi="Arial" w:cs="Arial"/>
          <w:bCs/>
          <w:lang w:eastAsia="en-GB"/>
        </w:rPr>
        <w:t xml:space="preserve">21. </w:t>
      </w:r>
      <w:r w:rsidR="00F51BE6" w:rsidRPr="00E15818">
        <w:rPr>
          <w:rFonts w:ascii="Arial" w:eastAsia="Times New Roman" w:hAnsi="Arial" w:cs="Arial"/>
          <w:bCs/>
          <w:lang w:eastAsia="en-GB"/>
        </w:rPr>
        <w:t xml:space="preserve">Against the </w:t>
      </w:r>
      <w:r w:rsidRPr="00E15818">
        <w:rPr>
          <w:rFonts w:ascii="Arial" w:eastAsia="Times New Roman" w:hAnsi="Arial" w:cs="Arial"/>
          <w:bCs/>
          <w:lang w:eastAsia="en-GB"/>
        </w:rPr>
        <w:t xml:space="preserve">workforce split </w:t>
      </w:r>
      <w:r w:rsidR="00F51BE6" w:rsidRPr="00E15818">
        <w:rPr>
          <w:rFonts w:ascii="Arial" w:eastAsia="Times New Roman" w:hAnsi="Arial" w:cs="Arial"/>
          <w:bCs/>
          <w:lang w:eastAsia="en-GB"/>
        </w:rPr>
        <w:t xml:space="preserve">this is </w:t>
      </w:r>
      <w:r w:rsidRPr="00E15818">
        <w:rPr>
          <w:rFonts w:ascii="Arial" w:eastAsia="Times New Roman" w:hAnsi="Arial" w:cs="Arial"/>
          <w:bCs/>
          <w:lang w:eastAsia="en-GB"/>
        </w:rPr>
        <w:t xml:space="preserve">a 15% under presentation of female and </w:t>
      </w:r>
      <w:r w:rsidR="0047110D" w:rsidRPr="00E15818">
        <w:rPr>
          <w:rFonts w:ascii="Arial" w:eastAsia="Times New Roman" w:hAnsi="Arial" w:cs="Arial"/>
          <w:bCs/>
          <w:lang w:eastAsia="en-GB"/>
        </w:rPr>
        <w:t xml:space="preserve">15% </w:t>
      </w:r>
      <w:r w:rsidRPr="00E15818">
        <w:rPr>
          <w:rFonts w:ascii="Arial" w:eastAsia="Times New Roman" w:hAnsi="Arial" w:cs="Arial"/>
          <w:bCs/>
          <w:lang w:eastAsia="en-GB"/>
        </w:rPr>
        <w:t>over representation o</w:t>
      </w:r>
      <w:r w:rsidR="0047110D" w:rsidRPr="00E15818">
        <w:rPr>
          <w:rFonts w:ascii="Arial" w:eastAsia="Times New Roman" w:hAnsi="Arial" w:cs="Arial"/>
          <w:bCs/>
          <w:lang w:eastAsia="en-GB"/>
        </w:rPr>
        <w:t>f</w:t>
      </w:r>
      <w:r w:rsidRPr="00E15818">
        <w:rPr>
          <w:rFonts w:ascii="Arial" w:eastAsia="Times New Roman" w:hAnsi="Arial" w:cs="Arial"/>
          <w:bCs/>
          <w:lang w:eastAsia="en-GB"/>
        </w:rPr>
        <w:t xml:space="preserve"> male. </w:t>
      </w:r>
    </w:p>
    <w:p w:rsidR="00ED7468" w:rsidRPr="001108D9" w:rsidRDefault="00ED7468" w:rsidP="00ED7468">
      <w:pPr>
        <w:spacing w:after="0" w:line="240" w:lineRule="auto"/>
        <w:rPr>
          <w:rFonts w:ascii="Arial" w:eastAsia="Times New Roman" w:hAnsi="Arial" w:cs="Arial"/>
          <w:bCs/>
          <w:color w:val="FF0000"/>
          <w:lang w:eastAsia="en-GB"/>
        </w:rPr>
      </w:pPr>
    </w:p>
    <w:p w:rsidR="002F1B03" w:rsidRPr="001108D9" w:rsidRDefault="003A1B08" w:rsidP="00ED7468">
      <w:pPr>
        <w:spacing w:after="0" w:line="240" w:lineRule="auto"/>
        <w:rPr>
          <w:rFonts w:ascii="Arial" w:hAnsi="Arial" w:cs="Arial"/>
          <w:bCs/>
          <w:color w:val="FF0000"/>
          <w:sz w:val="24"/>
          <w:szCs w:val="24"/>
        </w:rPr>
      </w:pPr>
      <w:r w:rsidRPr="001108D9">
        <w:rPr>
          <w:noProof/>
          <w:color w:val="FF0000"/>
          <w:lang w:eastAsia="en-GB"/>
        </w:rPr>
        <w:drawing>
          <wp:inline distT="0" distB="0" distL="0" distR="0" wp14:anchorId="7B064958" wp14:editId="118D15AC">
            <wp:extent cx="6026150" cy="2468033"/>
            <wp:effectExtent l="0" t="0" r="1270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5818" w:rsidRDefault="00E15818" w:rsidP="00F51BE6">
      <w:pPr>
        <w:spacing w:before="240" w:after="0" w:line="240" w:lineRule="auto"/>
        <w:rPr>
          <w:rFonts w:ascii="Arial" w:eastAsia="Times New Roman" w:hAnsi="Arial" w:cs="Arial"/>
          <w:b/>
          <w:bCs/>
          <w:lang w:eastAsia="en-GB"/>
        </w:rPr>
      </w:pPr>
    </w:p>
    <w:p w:rsidR="00F51BE6" w:rsidRDefault="00F51BE6" w:rsidP="00F51BE6">
      <w:pPr>
        <w:spacing w:before="240" w:after="0" w:line="240" w:lineRule="auto"/>
        <w:rPr>
          <w:rFonts w:ascii="Arial" w:eastAsia="Times New Roman" w:hAnsi="Arial" w:cs="Arial"/>
          <w:bCs/>
          <w:lang w:eastAsia="en-GB"/>
        </w:rPr>
      </w:pPr>
      <w:r w:rsidRPr="0013038B">
        <w:rPr>
          <w:rFonts w:ascii="Arial" w:eastAsia="Times New Roman" w:hAnsi="Arial" w:cs="Arial"/>
          <w:b/>
          <w:bCs/>
          <w:lang w:eastAsia="en-GB"/>
        </w:rPr>
        <w:t xml:space="preserve">For LDH top pay quartile </w:t>
      </w:r>
      <w:r w:rsidR="00E15818">
        <w:rPr>
          <w:rFonts w:ascii="Arial" w:eastAsia="Times New Roman" w:hAnsi="Arial" w:cs="Arial"/>
          <w:b/>
          <w:bCs/>
          <w:lang w:eastAsia="en-GB"/>
        </w:rPr>
        <w:t xml:space="preserve">(see chart that follows) </w:t>
      </w:r>
      <w:r w:rsidRPr="0013038B">
        <w:rPr>
          <w:rFonts w:ascii="Arial" w:eastAsia="Times New Roman" w:hAnsi="Arial" w:cs="Arial"/>
          <w:b/>
          <w:bCs/>
          <w:lang w:eastAsia="en-GB"/>
        </w:rPr>
        <w:t>-</w:t>
      </w:r>
      <w:r w:rsidRPr="0013038B">
        <w:rPr>
          <w:rFonts w:ascii="Arial" w:eastAsia="Times New Roman" w:hAnsi="Arial" w:cs="Arial"/>
          <w:bCs/>
          <w:lang w:eastAsia="en-GB"/>
        </w:rPr>
        <w:t xml:space="preserve"> The female to male ratio was 65% to 35% in 2017 and 64% to 36% in 2021. Against workforce split this is again a 15% under presentation of female and 15% over representation of male. </w:t>
      </w:r>
    </w:p>
    <w:p w:rsidR="00E15818" w:rsidRPr="0013038B" w:rsidRDefault="00E15818" w:rsidP="00E15818">
      <w:pPr>
        <w:spacing w:before="120" w:after="0"/>
        <w:rPr>
          <w:rFonts w:ascii="Arial" w:hAnsi="Arial" w:cs="Arial"/>
        </w:rPr>
      </w:pPr>
      <w:r w:rsidRPr="0013038B">
        <w:rPr>
          <w:rFonts w:ascii="Arial" w:hAnsi="Arial" w:cs="Arial"/>
        </w:rPr>
        <w:t>Banding tables on pages 9-10 highlight where average pay is higher by male or female cohort across bands). There is a predominantly male workforce in the higher banded Medical / Dental Professions where a bonus is applied (more details of the bonus follow this section).</w:t>
      </w:r>
    </w:p>
    <w:p w:rsidR="00B9508A" w:rsidRPr="001108D9" w:rsidRDefault="00F51BE6" w:rsidP="00832692">
      <w:pPr>
        <w:spacing w:before="240" w:after="0" w:line="240" w:lineRule="auto"/>
        <w:rPr>
          <w:noProof/>
          <w:color w:val="FF0000"/>
          <w:lang w:eastAsia="en-GB"/>
        </w:rPr>
      </w:pPr>
      <w:r w:rsidRPr="001108D9">
        <w:rPr>
          <w:noProof/>
          <w:color w:val="FF0000"/>
          <w:lang w:eastAsia="en-GB"/>
        </w:rPr>
        <w:drawing>
          <wp:inline distT="0" distB="0" distL="0" distR="0" wp14:anchorId="50BC2F87" wp14:editId="5E7827BB">
            <wp:extent cx="5946140" cy="2400300"/>
            <wp:effectExtent l="0" t="0" r="1651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038B" w:rsidRDefault="0013038B" w:rsidP="00BD5060">
      <w:pPr>
        <w:pStyle w:val="Heading1"/>
        <w:spacing w:before="0"/>
        <w:jc w:val="center"/>
        <w:rPr>
          <w:rFonts w:ascii="Arial" w:hAnsi="Arial" w:cs="Arial"/>
          <w:color w:val="auto"/>
          <w:sz w:val="22"/>
          <w:szCs w:val="22"/>
          <w:highlight w:val="lightGray"/>
        </w:rPr>
      </w:pPr>
    </w:p>
    <w:p w:rsidR="0083719D" w:rsidRPr="0013038B" w:rsidRDefault="00347F79" w:rsidP="00BD5060">
      <w:pPr>
        <w:pStyle w:val="Heading1"/>
        <w:spacing w:before="0"/>
        <w:jc w:val="center"/>
        <w:rPr>
          <w:rFonts w:ascii="Arial" w:hAnsi="Arial" w:cs="Arial"/>
          <w:color w:val="auto"/>
          <w:sz w:val="22"/>
          <w:szCs w:val="22"/>
        </w:rPr>
      </w:pPr>
      <w:r w:rsidRPr="0013038B">
        <w:rPr>
          <w:rFonts w:ascii="Arial" w:hAnsi="Arial" w:cs="Arial"/>
          <w:color w:val="auto"/>
          <w:sz w:val="22"/>
          <w:szCs w:val="22"/>
          <w:highlight w:val="lightGray"/>
        </w:rPr>
        <w:t>Ad</w:t>
      </w:r>
      <w:r w:rsidR="00BD5060" w:rsidRPr="0013038B">
        <w:rPr>
          <w:rFonts w:ascii="Arial" w:hAnsi="Arial" w:cs="Arial"/>
          <w:color w:val="auto"/>
          <w:sz w:val="22"/>
          <w:szCs w:val="22"/>
          <w:highlight w:val="lightGray"/>
        </w:rPr>
        <w:t xml:space="preserve">ditional Data - </w:t>
      </w:r>
      <w:r w:rsidR="0083719D" w:rsidRPr="0013038B">
        <w:rPr>
          <w:rFonts w:ascii="Arial" w:hAnsi="Arial" w:cs="Arial"/>
          <w:color w:val="auto"/>
          <w:sz w:val="22"/>
          <w:szCs w:val="22"/>
          <w:highlight w:val="lightGray"/>
        </w:rPr>
        <w:t>Bonus Pay Gap</w:t>
      </w:r>
    </w:p>
    <w:p w:rsidR="008B08DF" w:rsidRDefault="008B08DF" w:rsidP="00067771">
      <w:pPr>
        <w:spacing w:after="0"/>
        <w:rPr>
          <w:rFonts w:ascii="Arial" w:hAnsi="Arial" w:cs="Arial"/>
          <w:b/>
        </w:rPr>
      </w:pPr>
    </w:p>
    <w:p w:rsidR="0013038B" w:rsidRPr="0013038B" w:rsidRDefault="00067771" w:rsidP="00067771">
      <w:pPr>
        <w:spacing w:after="0"/>
        <w:rPr>
          <w:rFonts w:ascii="Arial" w:hAnsi="Arial" w:cs="Arial"/>
        </w:rPr>
      </w:pPr>
      <w:r w:rsidRPr="0013038B">
        <w:rPr>
          <w:rFonts w:ascii="Arial" w:hAnsi="Arial" w:cs="Arial"/>
          <w:b/>
        </w:rPr>
        <w:t>The Clinical Excellence Awards</w:t>
      </w:r>
      <w:r w:rsidRPr="0013038B">
        <w:rPr>
          <w:rFonts w:ascii="Arial" w:hAnsi="Arial" w:cs="Arial"/>
        </w:rPr>
        <w:t xml:space="preserve"> </w:t>
      </w:r>
      <w:r w:rsidRPr="0013038B">
        <w:rPr>
          <w:rFonts w:ascii="Arial" w:hAnsi="Arial" w:cs="Arial"/>
          <w:b/>
        </w:rPr>
        <w:t>(CEA</w:t>
      </w:r>
      <w:r w:rsidRPr="0013038B">
        <w:rPr>
          <w:rFonts w:ascii="Arial" w:hAnsi="Arial" w:cs="Arial"/>
        </w:rPr>
        <w:t xml:space="preserve">)* is a bonus system </w:t>
      </w:r>
      <w:r w:rsidR="00A32EC1">
        <w:rPr>
          <w:rFonts w:ascii="Arial" w:hAnsi="Arial" w:cs="Arial"/>
        </w:rPr>
        <w:t xml:space="preserve">applicable </w:t>
      </w:r>
      <w:r w:rsidRPr="0013038B">
        <w:rPr>
          <w:rFonts w:ascii="Arial" w:hAnsi="Arial" w:cs="Arial"/>
        </w:rPr>
        <w:t xml:space="preserve">to Medical consultants in recognition of outstanding achievements in high quality patient care. Consultants are a higher banded profession and the only group who receive a bonus.  </w:t>
      </w:r>
      <w:r w:rsidR="0013038B" w:rsidRPr="0013038B">
        <w:rPr>
          <w:rFonts w:ascii="Arial" w:hAnsi="Arial" w:cs="Arial"/>
        </w:rPr>
        <w:t xml:space="preserve">CEA can be </w:t>
      </w:r>
      <w:r w:rsidRPr="0013038B">
        <w:rPr>
          <w:rFonts w:ascii="Arial" w:hAnsi="Arial" w:cs="Arial"/>
        </w:rPr>
        <w:t xml:space="preserve">awarded Nationally </w:t>
      </w:r>
      <w:r w:rsidR="00A02E9C" w:rsidRPr="0013038B">
        <w:rPr>
          <w:rFonts w:ascii="Arial" w:hAnsi="Arial" w:cs="Arial"/>
        </w:rPr>
        <w:t>(</w:t>
      </w:r>
      <w:r w:rsidRPr="0013038B">
        <w:rPr>
          <w:rFonts w:ascii="Arial" w:hAnsi="Arial" w:cs="Arial"/>
        </w:rPr>
        <w:t>NCEA</w:t>
      </w:r>
      <w:r w:rsidR="0013038B" w:rsidRPr="0013038B">
        <w:rPr>
          <w:rFonts w:ascii="Arial" w:hAnsi="Arial" w:cs="Arial"/>
        </w:rPr>
        <w:t xml:space="preserve"> - controlled nationally and paid locally</w:t>
      </w:r>
      <w:r w:rsidR="00A02E9C" w:rsidRPr="0013038B">
        <w:rPr>
          <w:rFonts w:ascii="Arial" w:hAnsi="Arial" w:cs="Arial"/>
        </w:rPr>
        <w:t>)</w:t>
      </w:r>
      <w:r w:rsidRPr="0013038B">
        <w:rPr>
          <w:rFonts w:ascii="Arial" w:hAnsi="Arial" w:cs="Arial"/>
        </w:rPr>
        <w:t xml:space="preserve"> or </w:t>
      </w:r>
      <w:r w:rsidR="00C370D8" w:rsidRPr="0013038B">
        <w:rPr>
          <w:rFonts w:ascii="Arial" w:hAnsi="Arial" w:cs="Arial"/>
        </w:rPr>
        <w:t xml:space="preserve">awarded locally </w:t>
      </w:r>
      <w:r w:rsidR="0013038B" w:rsidRPr="0013038B">
        <w:rPr>
          <w:rFonts w:ascii="Arial" w:hAnsi="Arial" w:cs="Arial"/>
        </w:rPr>
        <w:t xml:space="preserve">(LCEA) </w:t>
      </w:r>
      <w:r w:rsidR="006C3041" w:rsidRPr="0013038B">
        <w:rPr>
          <w:rFonts w:ascii="Arial" w:hAnsi="Arial" w:cs="Arial"/>
        </w:rPr>
        <w:t xml:space="preserve">with Trust </w:t>
      </w:r>
      <w:r w:rsidR="00C370D8" w:rsidRPr="0013038B">
        <w:rPr>
          <w:rFonts w:ascii="Arial" w:hAnsi="Arial" w:cs="Arial"/>
        </w:rPr>
        <w:t>responsibility for</w:t>
      </w:r>
      <w:r w:rsidR="003E5E6A" w:rsidRPr="0013038B">
        <w:rPr>
          <w:rFonts w:ascii="Arial" w:hAnsi="Arial" w:cs="Arial"/>
        </w:rPr>
        <w:t xml:space="preserve"> </w:t>
      </w:r>
      <w:r w:rsidR="00C370D8" w:rsidRPr="0013038B">
        <w:rPr>
          <w:rFonts w:ascii="Arial" w:hAnsi="Arial" w:cs="Arial"/>
        </w:rPr>
        <w:t xml:space="preserve">the application </w:t>
      </w:r>
      <w:r w:rsidR="003E5E6A" w:rsidRPr="0013038B">
        <w:rPr>
          <w:rFonts w:ascii="Arial" w:hAnsi="Arial" w:cs="Arial"/>
        </w:rPr>
        <w:t xml:space="preserve">and payment </w:t>
      </w:r>
      <w:r w:rsidR="00C370D8" w:rsidRPr="0013038B">
        <w:rPr>
          <w:rFonts w:ascii="Arial" w:hAnsi="Arial" w:cs="Arial"/>
        </w:rPr>
        <w:t xml:space="preserve">of these. </w:t>
      </w:r>
    </w:p>
    <w:p w:rsidR="0013038B" w:rsidRPr="00A32EC1" w:rsidRDefault="0013038B" w:rsidP="00067771">
      <w:pPr>
        <w:spacing w:after="0"/>
        <w:rPr>
          <w:rFonts w:ascii="Arial" w:hAnsi="Arial" w:cs="Arial"/>
          <w:sz w:val="16"/>
          <w:szCs w:val="16"/>
        </w:rPr>
      </w:pPr>
    </w:p>
    <w:p w:rsidR="002E2103" w:rsidRPr="001108D9" w:rsidRDefault="0034379F" w:rsidP="00067771">
      <w:pPr>
        <w:spacing w:after="0"/>
        <w:rPr>
          <w:rFonts w:ascii="Arial" w:hAnsi="Arial" w:cs="Arial"/>
          <w:color w:val="FF0000"/>
        </w:rPr>
      </w:pPr>
      <w:r w:rsidRPr="0013038B">
        <w:rPr>
          <w:rFonts w:ascii="Arial" w:hAnsi="Arial" w:cs="Arial"/>
        </w:rPr>
        <w:t xml:space="preserve">A consultant needs to hold a substantive consultant appointment at </w:t>
      </w:r>
      <w:r w:rsidR="0013038B" w:rsidRPr="0013038B">
        <w:rPr>
          <w:rFonts w:ascii="Arial" w:hAnsi="Arial" w:cs="Arial"/>
        </w:rPr>
        <w:t xml:space="preserve">BHFT </w:t>
      </w:r>
      <w:r w:rsidRPr="0013038B">
        <w:rPr>
          <w:rFonts w:ascii="Arial" w:hAnsi="Arial" w:cs="Arial"/>
        </w:rPr>
        <w:t xml:space="preserve">for </w:t>
      </w:r>
      <w:r w:rsidR="006C3041" w:rsidRPr="0013038B">
        <w:rPr>
          <w:rFonts w:ascii="Arial" w:hAnsi="Arial" w:cs="Arial"/>
        </w:rPr>
        <w:t xml:space="preserve">a </w:t>
      </w:r>
      <w:r w:rsidRPr="0013038B">
        <w:rPr>
          <w:rFonts w:ascii="Arial" w:hAnsi="Arial" w:cs="Arial"/>
        </w:rPr>
        <w:t xml:space="preserve">year to be eligible to make an application for an LCEA. </w:t>
      </w:r>
      <w:r w:rsidR="0013038B" w:rsidRPr="0013038B">
        <w:rPr>
          <w:rFonts w:ascii="Arial" w:hAnsi="Arial" w:cs="Arial"/>
        </w:rPr>
        <w:t xml:space="preserve">In the </w:t>
      </w:r>
      <w:r w:rsidR="00C370D8" w:rsidRPr="0013038B">
        <w:rPr>
          <w:rFonts w:ascii="Arial" w:hAnsi="Arial" w:cs="Arial"/>
        </w:rPr>
        <w:t xml:space="preserve">last </w:t>
      </w:r>
      <w:r w:rsidR="006C3041" w:rsidRPr="0013038B">
        <w:rPr>
          <w:rFonts w:ascii="Arial" w:hAnsi="Arial" w:cs="Arial"/>
        </w:rPr>
        <w:t>4</w:t>
      </w:r>
      <w:r w:rsidR="00A32EC1">
        <w:rPr>
          <w:rFonts w:ascii="Arial" w:hAnsi="Arial" w:cs="Arial"/>
        </w:rPr>
        <w:t>-6</w:t>
      </w:r>
      <w:r w:rsidR="006F086E" w:rsidRPr="0013038B">
        <w:rPr>
          <w:rFonts w:ascii="Arial" w:hAnsi="Arial" w:cs="Arial"/>
        </w:rPr>
        <w:t xml:space="preserve"> </w:t>
      </w:r>
      <w:r w:rsidR="00C370D8" w:rsidRPr="0013038B">
        <w:rPr>
          <w:rFonts w:ascii="Arial" w:hAnsi="Arial" w:cs="Arial"/>
        </w:rPr>
        <w:t xml:space="preserve">years </w:t>
      </w:r>
      <w:r w:rsidR="0013038B" w:rsidRPr="0013038B">
        <w:rPr>
          <w:rFonts w:ascii="Arial" w:hAnsi="Arial" w:cs="Arial"/>
        </w:rPr>
        <w:t xml:space="preserve">only LCEA have been awarded </w:t>
      </w:r>
      <w:r w:rsidR="00A32EC1">
        <w:rPr>
          <w:rFonts w:ascii="Arial" w:hAnsi="Arial" w:cs="Arial"/>
        </w:rPr>
        <w:t xml:space="preserve">to </w:t>
      </w:r>
      <w:r w:rsidR="0013038B" w:rsidRPr="0013038B">
        <w:rPr>
          <w:rFonts w:ascii="Arial" w:hAnsi="Arial" w:cs="Arial"/>
        </w:rPr>
        <w:t>cons</w:t>
      </w:r>
      <w:r w:rsidR="00C370D8" w:rsidRPr="0013038B">
        <w:rPr>
          <w:rFonts w:ascii="Arial" w:hAnsi="Arial" w:cs="Arial"/>
        </w:rPr>
        <w:t xml:space="preserve">ultants. </w:t>
      </w:r>
      <w:r w:rsidR="00A32EC1">
        <w:rPr>
          <w:rFonts w:ascii="Arial" w:hAnsi="Arial" w:cs="Arial"/>
        </w:rPr>
        <w:t xml:space="preserve">(Due </w:t>
      </w:r>
      <w:r w:rsidR="0013038B" w:rsidRPr="0013038B">
        <w:rPr>
          <w:rFonts w:ascii="Arial" w:hAnsi="Arial" w:cs="Arial"/>
        </w:rPr>
        <w:t>to c</w:t>
      </w:r>
      <w:r w:rsidRPr="0013038B">
        <w:rPr>
          <w:rFonts w:ascii="Arial" w:hAnsi="Arial" w:cs="Arial"/>
        </w:rPr>
        <w:t xml:space="preserve">onsultants not </w:t>
      </w:r>
      <w:r w:rsidR="0013038B" w:rsidRPr="0013038B">
        <w:rPr>
          <w:rFonts w:ascii="Arial" w:hAnsi="Arial" w:cs="Arial"/>
        </w:rPr>
        <w:t xml:space="preserve">being </w:t>
      </w:r>
      <w:r w:rsidRPr="0013038B">
        <w:rPr>
          <w:rFonts w:ascii="Arial" w:hAnsi="Arial" w:cs="Arial"/>
        </w:rPr>
        <w:t>eligible to apply</w:t>
      </w:r>
      <w:r w:rsidR="0013038B" w:rsidRPr="0013038B">
        <w:rPr>
          <w:rFonts w:ascii="Arial" w:hAnsi="Arial" w:cs="Arial"/>
        </w:rPr>
        <w:t xml:space="preserve">/ choosing </w:t>
      </w:r>
      <w:r w:rsidRPr="0013038B">
        <w:rPr>
          <w:rFonts w:ascii="Arial" w:hAnsi="Arial" w:cs="Arial"/>
        </w:rPr>
        <w:t>not to apply</w:t>
      </w:r>
      <w:r w:rsidR="00A32EC1">
        <w:rPr>
          <w:rFonts w:ascii="Arial" w:hAnsi="Arial" w:cs="Arial"/>
        </w:rPr>
        <w:t xml:space="preserve"> for NCEA)</w:t>
      </w:r>
      <w:r w:rsidRPr="0013038B">
        <w:rPr>
          <w:rFonts w:ascii="Arial" w:hAnsi="Arial" w:cs="Arial"/>
        </w:rPr>
        <w:t xml:space="preserve">. </w:t>
      </w:r>
    </w:p>
    <w:p w:rsidR="006E67C7" w:rsidRPr="001108D9" w:rsidRDefault="006E67C7" w:rsidP="0047110D">
      <w:pPr>
        <w:spacing w:after="0"/>
        <w:rPr>
          <w:rFonts w:ascii="Arial" w:hAnsi="Arial" w:cs="Arial"/>
          <w:b/>
          <w:color w:val="FF0000"/>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7110D" w:rsidRDefault="006E67C7" w:rsidP="0047110D">
      <w:pPr>
        <w:spacing w:after="0"/>
        <w:rPr>
          <w:rFonts w:ascii="Arial" w:hAnsi="Arial" w:cs="Arial"/>
          <w:b/>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3038B">
        <w:rPr>
          <w:rFonts w:ascii="Arial" w:hAnsi="Arial" w:cs="Arial"/>
          <w:b/>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CHANGES </w:t>
      </w:r>
      <w:r w:rsidR="00A32EC1">
        <w:rPr>
          <w:rFonts w:ascii="Arial" w:hAnsi="Arial" w:cs="Arial"/>
          <w:b/>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INTERIM PROVISIONS </w:t>
      </w:r>
      <w:r w:rsidR="00A87940">
        <w:rPr>
          <w:rFonts w:ascii="Arial" w:hAnsi="Arial" w:cs="Arial"/>
          <w:b/>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TO THE </w:t>
      </w:r>
      <w:r w:rsidRPr="0013038B">
        <w:rPr>
          <w:rFonts w:ascii="Arial" w:hAnsi="Arial" w:cs="Arial"/>
          <w:b/>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LCEA </w:t>
      </w:r>
    </w:p>
    <w:p w:rsidR="00AB4607" w:rsidRPr="0013038B" w:rsidRDefault="00AB4607" w:rsidP="0047110D">
      <w:pPr>
        <w:spacing w:after="0"/>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3038B">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LCEA used to be paid monthly</w:t>
      </w:r>
      <w:r w:rsidR="00E336A7" w:rsidRPr="0013038B">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with amounts </w:t>
      </w:r>
      <w:r w:rsidRPr="0013038B">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dependant on the level </w:t>
      </w:r>
      <w:r w:rsidR="0013038B">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tenure of the c</w:t>
      </w:r>
      <w:r w:rsidRPr="0013038B">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onsultant Female were less</w:t>
      </w:r>
      <w:r w:rsidR="00383437" w:rsidRPr="0013038B">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likely to apply than male</w:t>
      </w:r>
      <w:r w:rsidR="00E336A7" w:rsidRPr="0013038B">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Male </w:t>
      </w:r>
      <w:r w:rsidRPr="0013038B">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could reach a higher level of excellence award. </w:t>
      </w:r>
    </w:p>
    <w:p w:rsidR="008B08DF" w:rsidRDefault="008B08DF" w:rsidP="004135C2">
      <w:pPr>
        <w:pStyle w:val="ListParagraph"/>
        <w:numPr>
          <w:ilvl w:val="0"/>
          <w:numId w:val="13"/>
        </w:numPr>
        <w:spacing w:before="240"/>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B08DF">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Renegotiating a new LCEA process</w:t>
      </w:r>
      <w:r w:rsidR="00A32EC1">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32EC1">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3038B" w:rsidRPr="008B08DF">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w:t>
      </w:r>
      <w:r w:rsidR="00AB4607" w:rsidRPr="008B08DF">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2018 NHS Employers</w:t>
      </w:r>
      <w:r w:rsidR="00E336A7" w:rsidRPr="008B08DF">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B4607" w:rsidRPr="008B08DF">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BMA </w:t>
      </w:r>
      <w:r w:rsidR="00E336A7" w:rsidRPr="008B08DF">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the </w:t>
      </w:r>
      <w:r w:rsidR="00E336A7" w:rsidRPr="008B08DF">
        <w:rPr>
          <w:rFonts w:ascii="Arial" w:hAnsi="Arial" w:cs="Arial"/>
          <w:shd w:val="clear" w:color="auto" w:fill="FFFFFF"/>
        </w:rPr>
        <w:t>Hospital Consultants and Specialists Association</w:t>
      </w:r>
      <w:r w:rsidR="00E336A7" w:rsidRPr="008B08DF">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HCSA, </w:t>
      </w:r>
      <w:r w:rsidR="00AB4607" w:rsidRPr="008B08DF">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were renegotiating a new LCEA process. An interim 3 year process was put in place </w:t>
      </w:r>
      <w:r w:rsidR="00A32EC1">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with annual </w:t>
      </w:r>
      <w:r w:rsidR="00AB4607" w:rsidRPr="008B08DF">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payments in April for 2019 / 2020 / 2021. </w:t>
      </w:r>
    </w:p>
    <w:p w:rsidR="008B08DF" w:rsidRPr="00A32EC1" w:rsidRDefault="008B08DF" w:rsidP="008B08DF">
      <w:pPr>
        <w:pStyle w:val="ListParagraph"/>
        <w:spacing w:before="240"/>
        <w:ind w:left="284"/>
        <w:rPr>
          <w:rFonts w:ascii="Arial" w:hAnsi="Arial" w:cs="Arial"/>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8B08DF" w:rsidRDefault="008B08DF" w:rsidP="004135C2">
      <w:pPr>
        <w:pStyle w:val="ListParagraph"/>
        <w:numPr>
          <w:ilvl w:val="0"/>
          <w:numId w:val="13"/>
        </w:numPr>
        <w:spacing w:before="240"/>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Interim LCEA provision 2021 and 2022 - </w:t>
      </w:r>
      <w:r w:rsidR="00AB4607" w:rsidRPr="008B08DF">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Covid hampered </w:t>
      </w:r>
      <w:r>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sidR="006F0A5C" w:rsidRPr="008B08DF">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new LCEA </w:t>
      </w:r>
      <w:r w:rsidR="00AB4607" w:rsidRPr="008B08DF">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negotiation process </w:t>
      </w:r>
      <w:r w:rsidR="009D61F7">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it was </w:t>
      </w:r>
      <w:r w:rsidR="00AB4607" w:rsidRPr="008B08DF">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not completed. </w:t>
      </w:r>
      <w:r w:rsidR="009D61F7">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As a result,</w:t>
      </w:r>
      <w:r w:rsidR="00E336A7" w:rsidRPr="008B08DF">
        <w:rPr>
          <w:rFonts w:ascii="Arial" w:hAnsi="Arial" w:cs="Arial"/>
          <w:spacing w:val="3"/>
        </w:rPr>
        <w:t xml:space="preserve"> </w:t>
      </w:r>
      <w:r w:rsidR="009D61F7" w:rsidRPr="008B08DF">
        <w:rPr>
          <w:rFonts w:ascii="Arial" w:hAnsi="Arial" w:cs="Arial"/>
          <w:spacing w:val="3"/>
        </w:rPr>
        <w:t>NHS England, NHS Improvement (NHSEI) and the Department for HSC (DHSC)</w:t>
      </w:r>
      <w:r w:rsidR="009D61F7">
        <w:rPr>
          <w:rFonts w:ascii="Arial" w:hAnsi="Arial" w:cs="Arial"/>
          <w:spacing w:val="3"/>
        </w:rPr>
        <w:t xml:space="preserve"> agreed and required that </w:t>
      </w:r>
      <w:r w:rsidR="00ED7468" w:rsidRPr="008B08DF">
        <w:rPr>
          <w:rFonts w:ascii="Arial" w:hAnsi="Arial" w:cs="Arial"/>
          <w:spacing w:val="3"/>
        </w:rPr>
        <w:t xml:space="preserve">Trusts </w:t>
      </w:r>
      <w:r w:rsidR="009D61F7">
        <w:rPr>
          <w:rFonts w:ascii="Arial" w:hAnsi="Arial" w:cs="Arial"/>
          <w:spacing w:val="3"/>
        </w:rPr>
        <w:t xml:space="preserve">were </w:t>
      </w:r>
      <w:r w:rsidR="00E336A7" w:rsidRPr="008B08DF">
        <w:rPr>
          <w:rFonts w:ascii="Arial" w:hAnsi="Arial" w:cs="Arial"/>
          <w:spacing w:val="3"/>
        </w:rPr>
        <w:t>to equally distribute LCEA funds among all eligible consultants.</w:t>
      </w:r>
      <w:r w:rsidR="00E336A7" w:rsidRPr="008B08DF">
        <w:rPr>
          <w:rFonts w:ascii="Arial" w:hAnsi="Arial" w:cs="Arial"/>
          <w:b/>
          <w:spacing w:val="3"/>
        </w:rPr>
        <w:t xml:space="preserve"> </w:t>
      </w:r>
      <w:r w:rsidR="00E336A7" w:rsidRPr="008B08DF">
        <w:rPr>
          <w:rFonts w:ascii="Arial" w:hAnsi="Arial" w:cs="Arial"/>
          <w:spacing w:val="3"/>
        </w:rPr>
        <w:t>This was paid in a one</w:t>
      </w:r>
      <w:r w:rsidR="00E336A7" w:rsidRPr="008B08DF">
        <w:rPr>
          <w:rFonts w:ascii="Cambria Math" w:hAnsi="Cambria Math" w:cs="Cambria Math"/>
          <w:spacing w:val="3"/>
        </w:rPr>
        <w:t>‐</w:t>
      </w:r>
      <w:r w:rsidR="00E336A7" w:rsidRPr="008B08DF">
        <w:rPr>
          <w:rFonts w:ascii="Arial" w:hAnsi="Arial" w:cs="Arial"/>
          <w:spacing w:val="3"/>
        </w:rPr>
        <w:t>off, non</w:t>
      </w:r>
      <w:r w:rsidR="00E336A7" w:rsidRPr="008B08DF">
        <w:rPr>
          <w:rFonts w:ascii="Cambria Math" w:hAnsi="Cambria Math" w:cs="Cambria Math"/>
          <w:spacing w:val="3"/>
        </w:rPr>
        <w:t>‐</w:t>
      </w:r>
      <w:r w:rsidR="00E336A7" w:rsidRPr="008B08DF">
        <w:rPr>
          <w:rFonts w:ascii="Arial" w:hAnsi="Arial" w:cs="Arial"/>
          <w:spacing w:val="3"/>
        </w:rPr>
        <w:t xml:space="preserve">consolidated payment in place of a normal LCEA round. </w:t>
      </w:r>
      <w:r w:rsidR="00E336A7" w:rsidRPr="009D61F7">
        <w:rPr>
          <w:rFonts w:ascii="Arial" w:hAnsi="Arial" w:cs="Arial"/>
          <w:b/>
          <w:spacing w:val="3"/>
        </w:rPr>
        <w:t>I</w:t>
      </w:r>
      <w:r w:rsidR="009D61F7" w:rsidRPr="009D61F7">
        <w:rPr>
          <w:rFonts w:ascii="Arial" w:hAnsi="Arial" w:cs="Arial"/>
          <w:b/>
          <w:spacing w:val="3"/>
        </w:rPr>
        <w:t>n</w:t>
      </w:r>
      <w:r w:rsidR="00E336A7" w:rsidRPr="009D61F7">
        <w:rPr>
          <w:rFonts w:ascii="Arial" w:hAnsi="Arial" w:cs="Arial"/>
          <w:b/>
          <w:spacing w:val="3"/>
        </w:rPr>
        <w:t xml:space="preserve"> 2021 this extended </w:t>
      </w:r>
      <w:r w:rsidR="00746338" w:rsidRPr="009D61F7">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 locums supporting the Covid response. In 2022</w:t>
      </w:r>
      <w:r w:rsidR="00E336A7" w:rsidRPr="009D61F7">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AB4607" w:rsidRPr="009D61F7">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9D61F7">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it’s the same process.</w:t>
      </w:r>
    </w:p>
    <w:p w:rsidR="008B08DF" w:rsidRPr="008B08DF" w:rsidRDefault="008B08DF" w:rsidP="008B08DF">
      <w:pPr>
        <w:spacing w:before="240"/>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B08DF">
        <w:rPr>
          <w:rFonts w:ascii="Arial" w:hAnsi="Arial" w:cs="Arial"/>
          <w:b/>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CHANGES </w:t>
      </w:r>
      <w:r w:rsidR="00A87940">
        <w:rPr>
          <w:rFonts w:ascii="Arial" w:hAnsi="Arial" w:cs="Arial"/>
          <w:b/>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 THE N</w:t>
      </w:r>
      <w:r w:rsidRPr="008B08DF">
        <w:rPr>
          <w:rFonts w:ascii="Arial" w:hAnsi="Arial" w:cs="Arial"/>
          <w:b/>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CEA</w:t>
      </w:r>
    </w:p>
    <w:p w:rsidR="008B08DF" w:rsidRPr="008B08DF" w:rsidRDefault="009D61F7" w:rsidP="004135C2">
      <w:pPr>
        <w:pStyle w:val="ListParagraph"/>
        <w:numPr>
          <w:ilvl w:val="0"/>
          <w:numId w:val="14"/>
        </w:numPr>
        <w:spacing w:before="240"/>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spacing w:val="3"/>
        </w:rPr>
        <w:t>New national awards are to replace NC</w:t>
      </w:r>
      <w:r w:rsidR="000B209D" w:rsidRPr="008B08DF">
        <w:rPr>
          <w:rFonts w:ascii="Arial" w:hAnsi="Arial" w:cs="Arial"/>
          <w:b/>
          <w:spacing w:val="3"/>
        </w:rPr>
        <w:t>EA</w:t>
      </w:r>
      <w:r>
        <w:rPr>
          <w:rFonts w:ascii="Arial" w:hAnsi="Arial" w:cs="Arial"/>
          <w:b/>
          <w:spacing w:val="3"/>
        </w:rPr>
        <w:t xml:space="preserve"> and be </w:t>
      </w:r>
      <w:r w:rsidR="008B08DF" w:rsidRPr="008B08DF">
        <w:rPr>
          <w:rFonts w:ascii="Arial" w:hAnsi="Arial" w:cs="Arial"/>
          <w:b/>
          <w:spacing w:val="3"/>
        </w:rPr>
        <w:t xml:space="preserve">called </w:t>
      </w:r>
      <w:r w:rsidR="000B209D" w:rsidRPr="008B08DF">
        <w:rPr>
          <w:rFonts w:ascii="Arial" w:hAnsi="Arial" w:cs="Arial"/>
          <w:b/>
          <w:spacing w:val="3"/>
        </w:rPr>
        <w:t>** N</w:t>
      </w:r>
      <w:r w:rsidR="000B209D" w:rsidRPr="008B08DF">
        <w:rPr>
          <w:rFonts w:ascii="Arial" w:hAnsi="Arial" w:cs="Arial"/>
          <w:b/>
          <w:spacing w:val="3"/>
          <w:bdr w:val="none" w:sz="0" w:space="0" w:color="auto" w:frame="1"/>
        </w:rPr>
        <w:t>ational Clinical Impact Awards (NCIAs)</w:t>
      </w:r>
      <w:r w:rsidR="008B08DF">
        <w:rPr>
          <w:rFonts w:ascii="Arial" w:hAnsi="Arial" w:cs="Arial"/>
          <w:b/>
          <w:spacing w:val="3"/>
          <w:bdr w:val="none" w:sz="0" w:space="0" w:color="auto" w:frame="1"/>
        </w:rPr>
        <w:t xml:space="preserve"> </w:t>
      </w:r>
      <w:r>
        <w:rPr>
          <w:rFonts w:ascii="Arial" w:hAnsi="Arial" w:cs="Arial"/>
          <w:b/>
          <w:spacing w:val="3"/>
          <w:bdr w:val="none" w:sz="0" w:space="0" w:color="auto" w:frame="1"/>
        </w:rPr>
        <w:t xml:space="preserve">but </w:t>
      </w:r>
      <w:r w:rsidR="008B08DF" w:rsidRPr="008B08DF">
        <w:rPr>
          <w:rFonts w:ascii="Arial" w:hAnsi="Arial" w:cs="Arial"/>
          <w:b/>
          <w:spacing w:val="3"/>
          <w:u w:val="single"/>
          <w:bdr w:val="none" w:sz="0" w:space="0" w:color="auto" w:frame="1"/>
        </w:rPr>
        <w:t>are not yet agreed</w:t>
      </w:r>
      <w:r w:rsidR="000B209D" w:rsidRPr="008B08DF">
        <w:rPr>
          <w:rFonts w:ascii="Arial" w:hAnsi="Arial" w:cs="Arial"/>
          <w:b/>
          <w:spacing w:val="3"/>
          <w:bdr w:val="none" w:sz="0" w:space="0" w:color="auto" w:frame="1"/>
        </w:rPr>
        <w:t xml:space="preserve">. </w:t>
      </w:r>
      <w:r w:rsidR="00ED7468" w:rsidRPr="008B08DF">
        <w:rPr>
          <w:rFonts w:ascii="Arial" w:hAnsi="Arial" w:cs="Arial"/>
          <w:spacing w:val="3"/>
          <w:bdr w:val="none" w:sz="0" w:space="0" w:color="auto" w:frame="1"/>
        </w:rPr>
        <w:t xml:space="preserve">These aim </w:t>
      </w:r>
      <w:r w:rsidRPr="008B08DF">
        <w:rPr>
          <w:rFonts w:ascii="Arial" w:hAnsi="Arial" w:cs="Arial"/>
          <w:spacing w:val="3"/>
        </w:rPr>
        <w:t xml:space="preserve">to reward hard-working senior doctors, as an </w:t>
      </w:r>
      <w:r w:rsidRPr="008B08DF">
        <w:rPr>
          <w:rFonts w:ascii="Arial" w:hAnsi="Arial" w:cs="Arial"/>
          <w:spacing w:val="3"/>
          <w:bdr w:val="none" w:sz="0" w:space="0" w:color="auto" w:frame="1"/>
          <w:lang w:val="en-US"/>
        </w:rPr>
        <w:t>important feature of the total reward package for the consultant workforce.</w:t>
      </w:r>
      <w:r>
        <w:rPr>
          <w:rFonts w:ascii="Arial" w:hAnsi="Arial" w:cs="Arial"/>
          <w:spacing w:val="3"/>
          <w:bdr w:val="none" w:sz="0" w:space="0" w:color="auto" w:frame="1"/>
          <w:lang w:val="en-US"/>
        </w:rPr>
        <w:t xml:space="preserve"> But also </w:t>
      </w:r>
      <w:r w:rsidR="00ED7468" w:rsidRPr="008B08DF">
        <w:rPr>
          <w:rFonts w:ascii="Arial" w:hAnsi="Arial" w:cs="Arial"/>
          <w:spacing w:val="3"/>
          <w:bdr w:val="none" w:sz="0" w:space="0" w:color="auto" w:frame="1"/>
        </w:rPr>
        <w:t>t</w:t>
      </w:r>
      <w:r w:rsidR="000B209D" w:rsidRPr="008B08DF">
        <w:rPr>
          <w:rFonts w:ascii="Arial" w:hAnsi="Arial" w:cs="Arial"/>
          <w:spacing w:val="3"/>
        </w:rPr>
        <w:t>o bro</w:t>
      </w:r>
      <w:r w:rsidR="000B209D" w:rsidRPr="008B08DF">
        <w:rPr>
          <w:rFonts w:ascii="Arial" w:hAnsi="Arial" w:cs="Arial"/>
          <w:spacing w:val="3"/>
          <w:bdr w:val="none" w:sz="0" w:space="0" w:color="auto" w:frame="1"/>
        </w:rPr>
        <w:t>aden access to the scheme, make application process</w:t>
      </w:r>
      <w:r w:rsidR="008B08DF" w:rsidRPr="008B08DF">
        <w:rPr>
          <w:rFonts w:ascii="Arial" w:hAnsi="Arial" w:cs="Arial"/>
          <w:spacing w:val="3"/>
          <w:bdr w:val="none" w:sz="0" w:space="0" w:color="auto" w:frame="1"/>
        </w:rPr>
        <w:t>es</w:t>
      </w:r>
      <w:r w:rsidR="000B209D" w:rsidRPr="008B08DF">
        <w:rPr>
          <w:rFonts w:ascii="Arial" w:hAnsi="Arial" w:cs="Arial"/>
          <w:spacing w:val="3"/>
          <w:bdr w:val="none" w:sz="0" w:space="0" w:color="auto" w:frame="1"/>
        </w:rPr>
        <w:t xml:space="preserve"> fairer and more inclusive and ensure the scheme rewards and incentivises excellence across a broader range of activity.</w:t>
      </w:r>
      <w:r w:rsidR="000B209D" w:rsidRPr="008B08DF">
        <w:rPr>
          <w:rFonts w:ascii="Arial" w:hAnsi="Arial" w:cs="Arial"/>
          <w:spacing w:val="3"/>
        </w:rPr>
        <w:t xml:space="preserve"> </w:t>
      </w:r>
      <w:r w:rsidR="006F0A5C" w:rsidRPr="008B08DF">
        <w:rPr>
          <w:rFonts w:ascii="Arial" w:hAnsi="Arial" w:cs="Arial"/>
          <w:b/>
          <w:spacing w:val="3"/>
          <w:bdr w:val="none" w:sz="0" w:space="0" w:color="auto" w:frame="1"/>
          <w:lang w:val="en-US"/>
        </w:rPr>
        <w:t xml:space="preserve">However the </w:t>
      </w:r>
      <w:r w:rsidR="006F0A5C" w:rsidRPr="008B08DF">
        <w:rPr>
          <w:rFonts w:ascii="Arial" w:hAnsi="Arial" w:cs="Arial"/>
          <w:b/>
        </w:rPr>
        <w:t xml:space="preserve">the BMA were not </w:t>
      </w:r>
      <w:r>
        <w:rPr>
          <w:rFonts w:ascii="Arial" w:hAnsi="Arial" w:cs="Arial"/>
          <w:b/>
        </w:rPr>
        <w:t xml:space="preserve">yet </w:t>
      </w:r>
      <w:r w:rsidR="006F0A5C" w:rsidRPr="008B08DF">
        <w:rPr>
          <w:rFonts w:ascii="Arial" w:hAnsi="Arial" w:cs="Arial"/>
          <w:b/>
        </w:rPr>
        <w:t>able to agree to the final proposal</w:t>
      </w:r>
      <w:r w:rsidR="00ED7468" w:rsidRPr="008B08DF">
        <w:rPr>
          <w:rFonts w:ascii="Arial" w:hAnsi="Arial" w:cs="Arial"/>
          <w:b/>
        </w:rPr>
        <w:t xml:space="preserve">. </w:t>
      </w:r>
      <w:r w:rsidR="00ED7468" w:rsidRPr="008B08DF">
        <w:rPr>
          <w:rFonts w:ascii="Arial" w:hAnsi="Arial" w:cs="Arial"/>
        </w:rPr>
        <w:t xml:space="preserve"> There are some areas of contention such as not applying awards pro-rata for less than fulltime posts.</w:t>
      </w:r>
    </w:p>
    <w:p w:rsidR="00834A39" w:rsidRPr="00834A39" w:rsidRDefault="008B08DF" w:rsidP="004135C2">
      <w:pPr>
        <w:pStyle w:val="Heading1"/>
        <w:numPr>
          <w:ilvl w:val="0"/>
          <w:numId w:val="14"/>
        </w:numPr>
        <w:shd w:val="clear" w:color="auto" w:fill="FFFFFF"/>
        <w:spacing w:before="0" w:line="240" w:lineRule="auto"/>
        <w:textAlignment w:val="baseline"/>
        <w:rPr>
          <w:rFonts w:ascii="Arial" w:hAnsi="Arial" w:cs="Arial"/>
          <w:bCs w:val="0"/>
          <w:color w:val="auto"/>
          <w:sz w:val="22"/>
          <w:szCs w:val="22"/>
        </w:rPr>
      </w:pPr>
      <w:r w:rsidRPr="00834A39">
        <w:rPr>
          <w:rFonts w:ascii="Arial" w:hAnsi="Arial" w:cs="Arial"/>
          <w:color w:val="auto"/>
          <w:sz w:val="22"/>
          <w:szCs w:val="22"/>
        </w:rPr>
        <w:t xml:space="preserve">Interim </w:t>
      </w:r>
      <w:r w:rsidR="00834A39" w:rsidRPr="00834A39">
        <w:rPr>
          <w:rFonts w:ascii="Arial" w:hAnsi="Arial" w:cs="Arial"/>
          <w:bCs w:val="0"/>
          <w:color w:val="auto"/>
          <w:sz w:val="22"/>
          <w:szCs w:val="22"/>
        </w:rPr>
        <w:t xml:space="preserve">steps for </w:t>
      </w:r>
      <w:r w:rsidR="009D61F7">
        <w:rPr>
          <w:rFonts w:ascii="Arial" w:hAnsi="Arial" w:cs="Arial"/>
          <w:bCs w:val="0"/>
          <w:color w:val="auto"/>
          <w:sz w:val="22"/>
          <w:szCs w:val="22"/>
        </w:rPr>
        <w:t xml:space="preserve">Trusts </w:t>
      </w:r>
      <w:r w:rsidR="00834A39" w:rsidRPr="00834A39">
        <w:rPr>
          <w:rFonts w:ascii="Arial" w:hAnsi="Arial" w:cs="Arial"/>
          <w:bCs w:val="0"/>
          <w:color w:val="auto"/>
          <w:sz w:val="22"/>
          <w:szCs w:val="22"/>
        </w:rPr>
        <w:t xml:space="preserve">running </w:t>
      </w:r>
      <w:r w:rsidR="00834A39" w:rsidRPr="00834A39">
        <w:rPr>
          <w:rFonts w:ascii="Arial" w:hAnsi="Arial" w:cs="Arial"/>
          <w:color w:val="auto"/>
          <w:sz w:val="22"/>
          <w:szCs w:val="22"/>
        </w:rPr>
        <w:t>LCEA arrangements from April 2022 and schedule 30</w:t>
      </w:r>
      <w:r w:rsidR="00834A39">
        <w:rPr>
          <w:rFonts w:ascii="Arial" w:hAnsi="Arial" w:cs="Arial"/>
          <w:color w:val="auto"/>
          <w:sz w:val="22"/>
          <w:szCs w:val="22"/>
        </w:rPr>
        <w:t xml:space="preserve"> can be viewed here:</w:t>
      </w:r>
    </w:p>
    <w:p w:rsidR="008B08DF" w:rsidRPr="008B08DF" w:rsidRDefault="00096A40" w:rsidP="00E15818">
      <w:pPr>
        <w:pStyle w:val="ListParagraph"/>
        <w:spacing w:after="0"/>
        <w:ind w:left="360"/>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hyperlink r:id="rId14" w:history="1">
        <w:r w:rsidR="008B08DF" w:rsidRPr="008B08DF">
          <w:rPr>
            <w:rStyle w:val="Hyperlink"/>
            <w:rFonts w:ascii="Arial" w:hAnsi="Arial" w:cs="Arial"/>
            <w:b/>
            <w:color w:val="auto"/>
          </w:rPr>
          <w:t>https://www.nhsemployers.org/publications/next-steps-employers-running-lcea-rounds-2022</w:t>
        </w:r>
      </w:hyperlink>
    </w:p>
    <w:p w:rsidR="004A4D97" w:rsidRDefault="004A4D97" w:rsidP="006F059E">
      <w:pPr>
        <w:spacing w:after="0"/>
        <w:jc w:val="center"/>
        <w:rPr>
          <w:rFonts w:ascii="Arial" w:hAnsi="Arial" w:cs="Arial"/>
          <w:b/>
          <w:sz w:val="28"/>
          <w:szCs w:val="28"/>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811B28" w:rsidRPr="0013038B" w:rsidRDefault="00A308BC" w:rsidP="006F059E">
      <w:pPr>
        <w:spacing w:after="0"/>
        <w:jc w:val="center"/>
        <w:rPr>
          <w:rFonts w:ascii="Arial" w:hAnsi="Arial" w:cs="Arial"/>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3038B">
        <w:rPr>
          <w:rFonts w:ascii="Arial" w:hAnsi="Arial" w:cs="Arial"/>
          <w:b/>
          <w:sz w:val="28"/>
          <w:szCs w:val="28"/>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results from </w:t>
      </w:r>
      <w:r w:rsidR="002E2103" w:rsidRPr="0013038B">
        <w:rPr>
          <w:rFonts w:ascii="Arial" w:hAnsi="Arial" w:cs="Arial"/>
          <w:b/>
          <w:sz w:val="28"/>
          <w:szCs w:val="28"/>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Employees who are paid a bonus</w:t>
      </w:r>
    </w:p>
    <w:p w:rsidR="00E07E1D" w:rsidRPr="0013038B" w:rsidRDefault="00E07E1D" w:rsidP="006F059E">
      <w:pPr>
        <w:spacing w:after="0"/>
        <w:jc w:val="center"/>
        <w:rPr>
          <w:rFonts w:ascii="Arial" w:hAnsi="Arial" w:cs="Arial"/>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9649A" w:rsidRPr="0013038B" w:rsidRDefault="0049649A" w:rsidP="0010308E">
      <w:pPr>
        <w:spacing w:after="0" w:line="240" w:lineRule="auto"/>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3038B">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Note - The bonus data submitted under the regulations includes all st</w:t>
      </w:r>
      <w:r w:rsidR="001B556F">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aff even Bank and this totals 9820 </w:t>
      </w:r>
      <w:r w:rsidRPr="0013038B">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staff. Relevant staff for Ordinary Pay Gap reporting totals 8</w:t>
      </w:r>
      <w:r w:rsidR="001B556F">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375</w:t>
      </w:r>
      <w:r w:rsidRPr="0013038B">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This will impact the data results. </w:t>
      </w:r>
    </w:p>
    <w:p w:rsidR="0049649A" w:rsidRPr="001108D9" w:rsidRDefault="0049649A" w:rsidP="0010308E">
      <w:pPr>
        <w:spacing w:after="0" w:line="240" w:lineRule="auto"/>
        <w:rPr>
          <w:rFonts w:ascii="Arial" w:hAnsi="Arial" w:cs="Arial"/>
          <w:b/>
          <w:color w:val="FF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A4D97" w:rsidRDefault="00E07E1D" w:rsidP="001B556F">
      <w:pPr>
        <w:spacing w:after="0" w:line="240" w:lineRule="auto"/>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A4D97">
        <w:rPr>
          <w:rFonts w:ascii="Arial" w:hAnsi="Arial" w:cs="Arial"/>
          <w:b/>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Mean and Median Bonus Pay Gaps</w:t>
      </w:r>
      <w:r w:rsidR="004A4D97" w:rsidRPr="004A4D97">
        <w:rPr>
          <w:rFonts w:ascii="Arial" w:hAnsi="Arial" w:cs="Arial"/>
          <w:b/>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LDH BH and BHFT</w:t>
      </w:r>
      <w:r w:rsidR="004A4D97">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1B556F">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4A4D97" w:rsidRDefault="004A4D97" w:rsidP="001B556F">
      <w:pPr>
        <w:spacing w:after="0" w:line="240" w:lineRule="auto"/>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 - </w:t>
      </w:r>
      <w:r w:rsidR="00E07E1D" w:rsidRPr="001B556F">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L</w:t>
      </w:r>
      <w:r>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DH </w:t>
      </w:r>
      <w:r w:rsidR="00E07E1D" w:rsidRPr="001B556F">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B</w:t>
      </w:r>
      <w:r>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w:t>
      </w:r>
      <w:r w:rsidR="00E07E1D" w:rsidRPr="001B556F">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2017 to 2021 and BHFT for 2021</w:t>
      </w:r>
      <w:r w:rsidR="001B556F">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-2022 </w:t>
      </w:r>
      <w:r>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1B556F">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4A510A" w:rsidRDefault="00952358" w:rsidP="001B556F">
      <w:pPr>
        <w:spacing w:after="0" w:line="240" w:lineRule="auto"/>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B556F">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As can be seen in the chart that follows;</w:t>
      </w:r>
    </w:p>
    <w:p w:rsidR="004A4D97" w:rsidRPr="00E15818" w:rsidRDefault="004A4D97" w:rsidP="004135C2">
      <w:pPr>
        <w:pStyle w:val="ListParagraph"/>
        <w:numPr>
          <w:ilvl w:val="0"/>
          <w:numId w:val="1"/>
        </w:numPr>
        <w:spacing w:before="240" w:after="0" w:line="240" w:lineRule="auto"/>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5818">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NOTES </w:t>
      </w:r>
      <w:r w:rsidR="00E15818" w:rsidRPr="00E15818">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E15818">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historical wide differences in results between the 2 sites should </w:t>
      </w:r>
      <w:r w:rsidR="00E15818">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even </w:t>
      </w:r>
      <w:r w:rsidRPr="00E15818">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out more when the new LCEA and NCEA provisions are applied. Medical workforce functions and LCEA NCEA provision are now Trust wide</w:t>
      </w:r>
      <w:r w:rsidR="00E15818">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not site specific.</w:t>
      </w:r>
    </w:p>
    <w:p w:rsidR="004A4D97" w:rsidRPr="00834A39" w:rsidRDefault="004A4D97" w:rsidP="004A4D97">
      <w:pPr>
        <w:pStyle w:val="ListParagraph"/>
        <w:spacing w:before="240" w:after="0" w:line="240" w:lineRule="auto"/>
        <w:ind w:left="360"/>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W w:w="8439" w:type="dxa"/>
        <w:tblLook w:val="04A0" w:firstRow="1" w:lastRow="0" w:firstColumn="1" w:lastColumn="0" w:noHBand="0" w:noVBand="1"/>
      </w:tblPr>
      <w:tblGrid>
        <w:gridCol w:w="1418"/>
        <w:gridCol w:w="1494"/>
        <w:gridCol w:w="1842"/>
        <w:gridCol w:w="1701"/>
        <w:gridCol w:w="1984"/>
      </w:tblGrid>
      <w:tr w:rsidR="00834A39" w:rsidRPr="008B08DF" w:rsidTr="0010308E">
        <w:trPr>
          <w:trHeight w:val="304"/>
        </w:trPr>
        <w:tc>
          <w:tcPr>
            <w:tcW w:w="1418" w:type="dxa"/>
            <w:tcBorders>
              <w:top w:val="nil"/>
              <w:left w:val="nil"/>
              <w:bottom w:val="nil"/>
              <w:right w:val="single" w:sz="8" w:space="0" w:color="auto"/>
            </w:tcBorders>
            <w:shd w:val="clear" w:color="auto" w:fill="auto"/>
            <w:noWrap/>
            <w:vAlign w:val="bottom"/>
            <w:hideMark/>
          </w:tcPr>
          <w:p w:rsidR="00E07E1D" w:rsidRPr="008B08DF" w:rsidRDefault="00E07E1D" w:rsidP="00E07E1D">
            <w:pPr>
              <w:spacing w:after="0" w:line="240" w:lineRule="auto"/>
              <w:rPr>
                <w:rFonts w:eastAsia="Times New Roman" w:cstheme="minorHAnsi"/>
                <w:b/>
                <w:bCs/>
                <w:sz w:val="24"/>
                <w:szCs w:val="24"/>
                <w:lang w:eastAsia="en-GB"/>
              </w:rPr>
            </w:pPr>
          </w:p>
        </w:tc>
        <w:tc>
          <w:tcPr>
            <w:tcW w:w="333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MEAN BONUS PAY GAPS</w:t>
            </w:r>
          </w:p>
        </w:tc>
        <w:tc>
          <w:tcPr>
            <w:tcW w:w="368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 xml:space="preserve">MEDIAN BONUS PAY GAPS </w:t>
            </w:r>
          </w:p>
        </w:tc>
      </w:tr>
      <w:tr w:rsidR="00834A39" w:rsidRPr="008B08DF" w:rsidTr="00187A94">
        <w:trPr>
          <w:trHeight w:val="27"/>
        </w:trPr>
        <w:tc>
          <w:tcPr>
            <w:tcW w:w="1418"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 xml:space="preserve">Year </w:t>
            </w:r>
          </w:p>
        </w:tc>
        <w:tc>
          <w:tcPr>
            <w:tcW w:w="1494" w:type="dxa"/>
            <w:tcBorders>
              <w:top w:val="nil"/>
              <w:left w:val="nil"/>
              <w:bottom w:val="single" w:sz="8" w:space="0" w:color="auto"/>
              <w:right w:val="single" w:sz="8" w:space="0" w:color="auto"/>
            </w:tcBorders>
            <w:shd w:val="clear" w:color="000000" w:fill="E2EFDA"/>
            <w:vAlign w:val="center"/>
            <w:hideMark/>
          </w:tcPr>
          <w:p w:rsidR="00E07E1D" w:rsidRPr="008B08DF" w:rsidRDefault="00E07E1D" w:rsidP="0010308E">
            <w:pPr>
              <w:spacing w:after="0" w:line="240" w:lineRule="auto"/>
              <w:jc w:val="center"/>
              <w:rPr>
                <w:rFonts w:eastAsia="Times New Roman" w:cstheme="minorHAnsi"/>
                <w:b/>
                <w:bCs/>
                <w:lang w:eastAsia="en-GB"/>
              </w:rPr>
            </w:pPr>
            <w:r w:rsidRPr="008B08DF">
              <w:rPr>
                <w:rFonts w:eastAsia="Times New Roman" w:cstheme="minorHAnsi"/>
                <w:b/>
                <w:bCs/>
                <w:lang w:eastAsia="en-GB"/>
              </w:rPr>
              <w:t xml:space="preserve">LUTON GAP </w:t>
            </w:r>
          </w:p>
        </w:tc>
        <w:tc>
          <w:tcPr>
            <w:tcW w:w="1842" w:type="dxa"/>
            <w:tcBorders>
              <w:top w:val="nil"/>
              <w:left w:val="nil"/>
              <w:bottom w:val="single" w:sz="8" w:space="0" w:color="auto"/>
              <w:right w:val="single" w:sz="8" w:space="0" w:color="auto"/>
            </w:tcBorders>
            <w:shd w:val="clear" w:color="000000" w:fill="DDEBF7"/>
            <w:vAlign w:val="center"/>
            <w:hideMark/>
          </w:tcPr>
          <w:p w:rsidR="00E07E1D" w:rsidRPr="008B08DF" w:rsidRDefault="00E07E1D" w:rsidP="0010308E">
            <w:pPr>
              <w:spacing w:after="0" w:line="240" w:lineRule="auto"/>
              <w:jc w:val="center"/>
              <w:rPr>
                <w:rFonts w:eastAsia="Times New Roman" w:cstheme="minorHAnsi"/>
                <w:b/>
                <w:bCs/>
                <w:lang w:eastAsia="en-GB"/>
              </w:rPr>
            </w:pPr>
            <w:r w:rsidRPr="008B08DF">
              <w:rPr>
                <w:rFonts w:eastAsia="Times New Roman" w:cstheme="minorHAnsi"/>
                <w:b/>
                <w:bCs/>
                <w:lang w:eastAsia="en-GB"/>
              </w:rPr>
              <w:t xml:space="preserve">BEDFORD GAP  </w:t>
            </w:r>
          </w:p>
        </w:tc>
        <w:tc>
          <w:tcPr>
            <w:tcW w:w="1701" w:type="dxa"/>
            <w:tcBorders>
              <w:top w:val="nil"/>
              <w:left w:val="nil"/>
              <w:bottom w:val="single" w:sz="8" w:space="0" w:color="auto"/>
              <w:right w:val="single" w:sz="8" w:space="0" w:color="auto"/>
            </w:tcBorders>
            <w:shd w:val="clear" w:color="000000" w:fill="E2EFDA"/>
            <w:vAlign w:val="center"/>
            <w:hideMark/>
          </w:tcPr>
          <w:p w:rsidR="00E07E1D" w:rsidRPr="008B08DF" w:rsidRDefault="00E07E1D" w:rsidP="0010308E">
            <w:pPr>
              <w:spacing w:after="0" w:line="240" w:lineRule="auto"/>
              <w:jc w:val="center"/>
              <w:rPr>
                <w:rFonts w:eastAsia="Times New Roman" w:cstheme="minorHAnsi"/>
                <w:b/>
                <w:bCs/>
                <w:lang w:eastAsia="en-GB"/>
              </w:rPr>
            </w:pPr>
            <w:r w:rsidRPr="008B08DF">
              <w:rPr>
                <w:rFonts w:eastAsia="Times New Roman" w:cstheme="minorHAnsi"/>
                <w:b/>
                <w:bCs/>
                <w:lang w:eastAsia="en-GB"/>
              </w:rPr>
              <w:t xml:space="preserve">LUTON GAP </w:t>
            </w:r>
          </w:p>
        </w:tc>
        <w:tc>
          <w:tcPr>
            <w:tcW w:w="1984" w:type="dxa"/>
            <w:tcBorders>
              <w:top w:val="nil"/>
              <w:left w:val="nil"/>
              <w:bottom w:val="single" w:sz="8" w:space="0" w:color="auto"/>
              <w:right w:val="single" w:sz="8" w:space="0" w:color="auto"/>
            </w:tcBorders>
            <w:shd w:val="clear" w:color="000000" w:fill="DDEBF7"/>
            <w:vAlign w:val="center"/>
            <w:hideMark/>
          </w:tcPr>
          <w:p w:rsidR="00E07E1D" w:rsidRPr="008B08DF" w:rsidRDefault="00E07E1D" w:rsidP="0010308E">
            <w:pPr>
              <w:spacing w:after="0" w:line="240" w:lineRule="auto"/>
              <w:jc w:val="center"/>
              <w:rPr>
                <w:rFonts w:eastAsia="Times New Roman" w:cstheme="minorHAnsi"/>
                <w:b/>
                <w:bCs/>
                <w:lang w:eastAsia="en-GB"/>
              </w:rPr>
            </w:pPr>
            <w:r w:rsidRPr="008B08DF">
              <w:rPr>
                <w:rFonts w:eastAsia="Times New Roman" w:cstheme="minorHAnsi"/>
                <w:b/>
                <w:bCs/>
                <w:lang w:eastAsia="en-GB"/>
              </w:rPr>
              <w:t xml:space="preserve">BEDFORD GAP </w:t>
            </w:r>
          </w:p>
        </w:tc>
      </w:tr>
      <w:tr w:rsidR="00834A39" w:rsidRPr="008B08DF" w:rsidTr="0010308E">
        <w:trPr>
          <w:trHeight w:val="294"/>
        </w:trPr>
        <w:tc>
          <w:tcPr>
            <w:tcW w:w="1418" w:type="dxa"/>
            <w:tcBorders>
              <w:top w:val="nil"/>
              <w:left w:val="single" w:sz="8" w:space="0" w:color="auto"/>
              <w:bottom w:val="single" w:sz="8" w:space="0" w:color="auto"/>
              <w:right w:val="single" w:sz="8" w:space="0" w:color="auto"/>
            </w:tcBorders>
            <w:shd w:val="clear" w:color="000000" w:fill="DDEBF7"/>
            <w:noWrap/>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2017</w:t>
            </w:r>
          </w:p>
        </w:tc>
        <w:tc>
          <w:tcPr>
            <w:tcW w:w="1494" w:type="dxa"/>
            <w:tcBorders>
              <w:top w:val="nil"/>
              <w:left w:val="nil"/>
              <w:bottom w:val="single" w:sz="8" w:space="0" w:color="auto"/>
              <w:right w:val="single" w:sz="8" w:space="0" w:color="auto"/>
            </w:tcBorders>
            <w:shd w:val="clear" w:color="000000" w:fill="E2EFDA"/>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33.44%</w:t>
            </w:r>
          </w:p>
        </w:tc>
        <w:tc>
          <w:tcPr>
            <w:tcW w:w="1842" w:type="dxa"/>
            <w:tcBorders>
              <w:top w:val="nil"/>
              <w:left w:val="nil"/>
              <w:bottom w:val="single" w:sz="8" w:space="0" w:color="auto"/>
              <w:right w:val="single" w:sz="8" w:space="0" w:color="auto"/>
            </w:tcBorders>
            <w:shd w:val="clear" w:color="000000" w:fill="DDEBF7"/>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-12.39%</w:t>
            </w:r>
          </w:p>
        </w:tc>
        <w:tc>
          <w:tcPr>
            <w:tcW w:w="1701" w:type="dxa"/>
            <w:tcBorders>
              <w:top w:val="nil"/>
              <w:left w:val="nil"/>
              <w:bottom w:val="single" w:sz="8" w:space="0" w:color="auto"/>
              <w:right w:val="single" w:sz="8" w:space="0" w:color="auto"/>
            </w:tcBorders>
            <w:shd w:val="clear" w:color="000000" w:fill="E2EFDA"/>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33.33%</w:t>
            </w:r>
          </w:p>
        </w:tc>
        <w:tc>
          <w:tcPr>
            <w:tcW w:w="1984" w:type="dxa"/>
            <w:tcBorders>
              <w:top w:val="nil"/>
              <w:left w:val="nil"/>
              <w:bottom w:val="single" w:sz="8" w:space="0" w:color="auto"/>
              <w:right w:val="single" w:sz="8" w:space="0" w:color="auto"/>
            </w:tcBorders>
            <w:shd w:val="clear" w:color="000000" w:fill="DDEBF7"/>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0.00%</w:t>
            </w:r>
          </w:p>
        </w:tc>
      </w:tr>
      <w:tr w:rsidR="00834A39" w:rsidRPr="008B08DF" w:rsidTr="0010308E">
        <w:trPr>
          <w:trHeight w:val="294"/>
        </w:trPr>
        <w:tc>
          <w:tcPr>
            <w:tcW w:w="1418" w:type="dxa"/>
            <w:tcBorders>
              <w:top w:val="nil"/>
              <w:left w:val="single" w:sz="8" w:space="0" w:color="auto"/>
              <w:bottom w:val="single" w:sz="8" w:space="0" w:color="auto"/>
              <w:right w:val="single" w:sz="8" w:space="0" w:color="auto"/>
            </w:tcBorders>
            <w:shd w:val="clear" w:color="000000" w:fill="DDEBF7"/>
            <w:noWrap/>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2018</w:t>
            </w:r>
          </w:p>
        </w:tc>
        <w:tc>
          <w:tcPr>
            <w:tcW w:w="1494" w:type="dxa"/>
            <w:tcBorders>
              <w:top w:val="nil"/>
              <w:left w:val="nil"/>
              <w:bottom w:val="single" w:sz="8" w:space="0" w:color="auto"/>
              <w:right w:val="single" w:sz="8" w:space="0" w:color="auto"/>
            </w:tcBorders>
            <w:shd w:val="clear" w:color="000000" w:fill="E2EFDA"/>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43.73%</w:t>
            </w:r>
          </w:p>
        </w:tc>
        <w:tc>
          <w:tcPr>
            <w:tcW w:w="1842" w:type="dxa"/>
            <w:tcBorders>
              <w:top w:val="nil"/>
              <w:left w:val="nil"/>
              <w:bottom w:val="single" w:sz="8" w:space="0" w:color="auto"/>
              <w:right w:val="single" w:sz="8" w:space="0" w:color="auto"/>
            </w:tcBorders>
            <w:shd w:val="clear" w:color="000000" w:fill="DDEBF7"/>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-7.76%</w:t>
            </w:r>
          </w:p>
        </w:tc>
        <w:tc>
          <w:tcPr>
            <w:tcW w:w="1701" w:type="dxa"/>
            <w:tcBorders>
              <w:top w:val="nil"/>
              <w:left w:val="nil"/>
              <w:bottom w:val="single" w:sz="8" w:space="0" w:color="auto"/>
              <w:right w:val="single" w:sz="8" w:space="0" w:color="auto"/>
            </w:tcBorders>
            <w:shd w:val="clear" w:color="000000" w:fill="E2EFDA"/>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65.37%</w:t>
            </w:r>
          </w:p>
        </w:tc>
        <w:tc>
          <w:tcPr>
            <w:tcW w:w="1984" w:type="dxa"/>
            <w:tcBorders>
              <w:top w:val="nil"/>
              <w:left w:val="nil"/>
              <w:bottom w:val="single" w:sz="8" w:space="0" w:color="auto"/>
              <w:right w:val="single" w:sz="8" w:space="0" w:color="auto"/>
            </w:tcBorders>
            <w:shd w:val="clear" w:color="000000" w:fill="DDEBF7"/>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8.33%</w:t>
            </w:r>
          </w:p>
        </w:tc>
      </w:tr>
      <w:tr w:rsidR="00834A39" w:rsidRPr="008B08DF" w:rsidTr="0010308E">
        <w:trPr>
          <w:trHeight w:val="294"/>
        </w:trPr>
        <w:tc>
          <w:tcPr>
            <w:tcW w:w="1418" w:type="dxa"/>
            <w:tcBorders>
              <w:top w:val="nil"/>
              <w:left w:val="single" w:sz="8" w:space="0" w:color="auto"/>
              <w:bottom w:val="single" w:sz="8" w:space="0" w:color="auto"/>
              <w:right w:val="single" w:sz="8" w:space="0" w:color="auto"/>
            </w:tcBorders>
            <w:shd w:val="clear" w:color="000000" w:fill="DDEBF7"/>
            <w:noWrap/>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2019</w:t>
            </w:r>
          </w:p>
        </w:tc>
        <w:tc>
          <w:tcPr>
            <w:tcW w:w="1494" w:type="dxa"/>
            <w:tcBorders>
              <w:top w:val="nil"/>
              <w:left w:val="nil"/>
              <w:bottom w:val="single" w:sz="8" w:space="0" w:color="auto"/>
              <w:right w:val="single" w:sz="8" w:space="0" w:color="auto"/>
            </w:tcBorders>
            <w:shd w:val="clear" w:color="000000" w:fill="E2EFDA"/>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35.88%</w:t>
            </w:r>
          </w:p>
        </w:tc>
        <w:tc>
          <w:tcPr>
            <w:tcW w:w="1842" w:type="dxa"/>
            <w:tcBorders>
              <w:top w:val="nil"/>
              <w:left w:val="nil"/>
              <w:bottom w:val="single" w:sz="8" w:space="0" w:color="auto"/>
              <w:right w:val="single" w:sz="8" w:space="0" w:color="auto"/>
            </w:tcBorders>
            <w:shd w:val="clear" w:color="000000" w:fill="DDEBF7"/>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-1.97%</w:t>
            </w:r>
          </w:p>
        </w:tc>
        <w:tc>
          <w:tcPr>
            <w:tcW w:w="1701" w:type="dxa"/>
            <w:tcBorders>
              <w:top w:val="nil"/>
              <w:left w:val="nil"/>
              <w:bottom w:val="single" w:sz="8" w:space="0" w:color="auto"/>
              <w:right w:val="single" w:sz="8" w:space="0" w:color="auto"/>
            </w:tcBorders>
            <w:shd w:val="clear" w:color="000000" w:fill="E2EFDA"/>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50.00%</w:t>
            </w:r>
          </w:p>
        </w:tc>
        <w:tc>
          <w:tcPr>
            <w:tcW w:w="1984" w:type="dxa"/>
            <w:tcBorders>
              <w:top w:val="nil"/>
              <w:left w:val="nil"/>
              <w:bottom w:val="single" w:sz="8" w:space="0" w:color="auto"/>
              <w:right w:val="single" w:sz="8" w:space="0" w:color="auto"/>
            </w:tcBorders>
            <w:shd w:val="clear" w:color="000000" w:fill="DDEBF7"/>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0.00%</w:t>
            </w:r>
          </w:p>
        </w:tc>
      </w:tr>
      <w:tr w:rsidR="00834A39" w:rsidRPr="008B08DF" w:rsidTr="0010308E">
        <w:trPr>
          <w:trHeight w:val="294"/>
        </w:trPr>
        <w:tc>
          <w:tcPr>
            <w:tcW w:w="1418" w:type="dxa"/>
            <w:tcBorders>
              <w:top w:val="nil"/>
              <w:left w:val="single" w:sz="8" w:space="0" w:color="auto"/>
              <w:bottom w:val="single" w:sz="8" w:space="0" w:color="auto"/>
              <w:right w:val="single" w:sz="8" w:space="0" w:color="auto"/>
            </w:tcBorders>
            <w:shd w:val="clear" w:color="000000" w:fill="DDEBF7"/>
            <w:noWrap/>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2020</w:t>
            </w:r>
          </w:p>
        </w:tc>
        <w:tc>
          <w:tcPr>
            <w:tcW w:w="1494" w:type="dxa"/>
            <w:tcBorders>
              <w:top w:val="nil"/>
              <w:left w:val="nil"/>
              <w:bottom w:val="single" w:sz="8" w:space="0" w:color="auto"/>
              <w:right w:val="single" w:sz="8" w:space="0" w:color="auto"/>
            </w:tcBorders>
            <w:shd w:val="clear" w:color="000000" w:fill="E2EFDA"/>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32.50%</w:t>
            </w:r>
          </w:p>
        </w:tc>
        <w:tc>
          <w:tcPr>
            <w:tcW w:w="1842" w:type="dxa"/>
            <w:tcBorders>
              <w:top w:val="nil"/>
              <w:left w:val="nil"/>
              <w:bottom w:val="single" w:sz="8" w:space="0" w:color="auto"/>
              <w:right w:val="single" w:sz="8" w:space="0" w:color="auto"/>
            </w:tcBorders>
            <w:shd w:val="clear" w:color="000000" w:fill="DDEBF7"/>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3.96%</w:t>
            </w:r>
          </w:p>
        </w:tc>
        <w:tc>
          <w:tcPr>
            <w:tcW w:w="1701" w:type="dxa"/>
            <w:tcBorders>
              <w:top w:val="nil"/>
              <w:left w:val="nil"/>
              <w:bottom w:val="single" w:sz="8" w:space="0" w:color="auto"/>
              <w:right w:val="single" w:sz="8" w:space="0" w:color="auto"/>
            </w:tcBorders>
            <w:shd w:val="clear" w:color="000000" w:fill="E2EFDA"/>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24.87%</w:t>
            </w:r>
          </w:p>
        </w:tc>
        <w:tc>
          <w:tcPr>
            <w:tcW w:w="1984" w:type="dxa"/>
            <w:tcBorders>
              <w:top w:val="nil"/>
              <w:left w:val="nil"/>
              <w:bottom w:val="single" w:sz="8" w:space="0" w:color="auto"/>
              <w:right w:val="single" w:sz="8" w:space="0" w:color="auto"/>
            </w:tcBorders>
            <w:shd w:val="clear" w:color="000000" w:fill="DDEBF7"/>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0.00%</w:t>
            </w:r>
          </w:p>
        </w:tc>
      </w:tr>
      <w:tr w:rsidR="00834A39" w:rsidRPr="008B08DF" w:rsidTr="0010308E">
        <w:trPr>
          <w:trHeight w:val="277"/>
        </w:trPr>
        <w:tc>
          <w:tcPr>
            <w:tcW w:w="1418" w:type="dxa"/>
            <w:tcBorders>
              <w:top w:val="nil"/>
              <w:left w:val="single" w:sz="8" w:space="0" w:color="auto"/>
              <w:bottom w:val="single" w:sz="8" w:space="0" w:color="auto"/>
              <w:right w:val="single" w:sz="8" w:space="0" w:color="auto"/>
            </w:tcBorders>
            <w:shd w:val="clear" w:color="000000" w:fill="DDEBF7"/>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2021</w:t>
            </w:r>
          </w:p>
        </w:tc>
        <w:tc>
          <w:tcPr>
            <w:tcW w:w="1494" w:type="dxa"/>
            <w:tcBorders>
              <w:top w:val="nil"/>
              <w:left w:val="nil"/>
              <w:bottom w:val="single" w:sz="8" w:space="0" w:color="auto"/>
              <w:right w:val="single" w:sz="8" w:space="0" w:color="auto"/>
            </w:tcBorders>
            <w:shd w:val="clear" w:color="000000" w:fill="E2EFDA"/>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30.84%</w:t>
            </w:r>
          </w:p>
        </w:tc>
        <w:tc>
          <w:tcPr>
            <w:tcW w:w="1842" w:type="dxa"/>
            <w:tcBorders>
              <w:top w:val="nil"/>
              <w:left w:val="nil"/>
              <w:bottom w:val="single" w:sz="8" w:space="0" w:color="auto"/>
              <w:right w:val="single" w:sz="8" w:space="0" w:color="auto"/>
            </w:tcBorders>
            <w:shd w:val="clear" w:color="000000" w:fill="DDEBF7"/>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27.61%</w:t>
            </w:r>
          </w:p>
        </w:tc>
        <w:tc>
          <w:tcPr>
            <w:tcW w:w="1701" w:type="dxa"/>
            <w:tcBorders>
              <w:top w:val="nil"/>
              <w:left w:val="nil"/>
              <w:bottom w:val="single" w:sz="8" w:space="0" w:color="auto"/>
              <w:right w:val="single" w:sz="8" w:space="0" w:color="auto"/>
            </w:tcBorders>
            <w:shd w:val="clear" w:color="000000" w:fill="E2EFDA"/>
            <w:noWrap/>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32.80%</w:t>
            </w:r>
          </w:p>
        </w:tc>
        <w:tc>
          <w:tcPr>
            <w:tcW w:w="1984" w:type="dxa"/>
            <w:tcBorders>
              <w:top w:val="nil"/>
              <w:left w:val="nil"/>
              <w:bottom w:val="single" w:sz="8" w:space="0" w:color="auto"/>
              <w:right w:val="single" w:sz="8" w:space="0" w:color="auto"/>
            </w:tcBorders>
            <w:shd w:val="clear" w:color="000000" w:fill="DDEBF7"/>
            <w:noWrap/>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66.67%</w:t>
            </w:r>
          </w:p>
        </w:tc>
      </w:tr>
      <w:tr w:rsidR="008B08DF" w:rsidRPr="008B08DF" w:rsidTr="008B08DF">
        <w:trPr>
          <w:trHeight w:val="27"/>
        </w:trPr>
        <w:tc>
          <w:tcPr>
            <w:tcW w:w="1418" w:type="dxa"/>
            <w:tcBorders>
              <w:top w:val="nil"/>
              <w:left w:val="single" w:sz="8" w:space="0" w:color="auto"/>
              <w:bottom w:val="nil"/>
              <w:right w:val="single" w:sz="8" w:space="0" w:color="auto"/>
            </w:tcBorders>
            <w:shd w:val="clear" w:color="000000" w:fill="9BC2E6"/>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 xml:space="preserve">BHFT 2021 </w:t>
            </w:r>
          </w:p>
        </w:tc>
        <w:tc>
          <w:tcPr>
            <w:tcW w:w="3336" w:type="dxa"/>
            <w:gridSpan w:val="2"/>
            <w:tcBorders>
              <w:top w:val="single" w:sz="8" w:space="0" w:color="auto"/>
              <w:left w:val="nil"/>
              <w:bottom w:val="single" w:sz="8" w:space="0" w:color="auto"/>
              <w:right w:val="single" w:sz="8" w:space="0" w:color="000000"/>
            </w:tcBorders>
            <w:shd w:val="clear" w:color="000000" w:fill="9BC2E6"/>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20.22%</w:t>
            </w:r>
          </w:p>
        </w:tc>
        <w:tc>
          <w:tcPr>
            <w:tcW w:w="3685" w:type="dxa"/>
            <w:gridSpan w:val="2"/>
            <w:tcBorders>
              <w:top w:val="single" w:sz="8" w:space="0" w:color="auto"/>
              <w:left w:val="nil"/>
              <w:bottom w:val="single" w:sz="8" w:space="0" w:color="auto"/>
              <w:right w:val="single" w:sz="8" w:space="0" w:color="000000"/>
            </w:tcBorders>
            <w:shd w:val="clear" w:color="000000" w:fill="9BC2E6"/>
            <w:vAlign w:val="center"/>
            <w:hideMark/>
          </w:tcPr>
          <w:p w:rsidR="00E07E1D" w:rsidRPr="008B08DF" w:rsidRDefault="00E07E1D"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33.33%</w:t>
            </w:r>
          </w:p>
        </w:tc>
      </w:tr>
      <w:tr w:rsidR="00834A39" w:rsidRPr="008B08DF" w:rsidTr="00187A94">
        <w:trPr>
          <w:trHeight w:val="27"/>
        </w:trPr>
        <w:tc>
          <w:tcPr>
            <w:tcW w:w="1418" w:type="dxa"/>
            <w:tcBorders>
              <w:top w:val="nil"/>
              <w:left w:val="single" w:sz="8" w:space="0" w:color="auto"/>
              <w:bottom w:val="single" w:sz="8" w:space="0" w:color="auto"/>
              <w:right w:val="single" w:sz="8" w:space="0" w:color="auto"/>
            </w:tcBorders>
            <w:shd w:val="clear" w:color="000000" w:fill="9BC2E6"/>
            <w:vAlign w:val="center"/>
          </w:tcPr>
          <w:p w:rsidR="008B08DF" w:rsidRPr="008B08DF" w:rsidRDefault="008B08DF" w:rsidP="00E07E1D">
            <w:pPr>
              <w:spacing w:after="0" w:line="240" w:lineRule="auto"/>
              <w:jc w:val="center"/>
              <w:rPr>
                <w:rFonts w:eastAsia="Times New Roman" w:cstheme="minorHAnsi"/>
                <w:b/>
                <w:bCs/>
                <w:sz w:val="24"/>
                <w:szCs w:val="24"/>
                <w:lang w:eastAsia="en-GB"/>
              </w:rPr>
            </w:pPr>
            <w:r w:rsidRPr="008B08DF">
              <w:rPr>
                <w:rFonts w:eastAsia="Times New Roman" w:cstheme="minorHAnsi"/>
                <w:b/>
                <w:bCs/>
                <w:sz w:val="24"/>
                <w:szCs w:val="24"/>
                <w:lang w:eastAsia="en-GB"/>
              </w:rPr>
              <w:t>BHFT 2022</w:t>
            </w:r>
          </w:p>
        </w:tc>
        <w:tc>
          <w:tcPr>
            <w:tcW w:w="3336" w:type="dxa"/>
            <w:gridSpan w:val="2"/>
            <w:tcBorders>
              <w:top w:val="single" w:sz="8" w:space="0" w:color="auto"/>
              <w:left w:val="nil"/>
              <w:bottom w:val="single" w:sz="8" w:space="0" w:color="auto"/>
              <w:right w:val="single" w:sz="8" w:space="0" w:color="000000"/>
            </w:tcBorders>
            <w:shd w:val="clear" w:color="000000" w:fill="9BC2E6"/>
            <w:vAlign w:val="center"/>
          </w:tcPr>
          <w:p w:rsidR="008B08DF" w:rsidRPr="008B08DF" w:rsidRDefault="008B08DF" w:rsidP="00E07E1D">
            <w:pPr>
              <w:spacing w:after="0" w:line="240" w:lineRule="auto"/>
              <w:jc w:val="center"/>
              <w:rPr>
                <w:rFonts w:eastAsia="Times New Roman" w:cstheme="minorHAnsi"/>
                <w:b/>
                <w:bCs/>
                <w:sz w:val="24"/>
                <w:szCs w:val="24"/>
                <w:lang w:eastAsia="en-GB"/>
              </w:rPr>
            </w:pPr>
            <w:r>
              <w:rPr>
                <w:rFonts w:eastAsia="Times New Roman" w:cstheme="minorHAnsi"/>
                <w:b/>
                <w:bCs/>
                <w:sz w:val="24"/>
                <w:szCs w:val="24"/>
                <w:lang w:eastAsia="en-GB"/>
              </w:rPr>
              <w:t>19.04%</w:t>
            </w:r>
          </w:p>
        </w:tc>
        <w:tc>
          <w:tcPr>
            <w:tcW w:w="3685" w:type="dxa"/>
            <w:gridSpan w:val="2"/>
            <w:tcBorders>
              <w:top w:val="single" w:sz="8" w:space="0" w:color="auto"/>
              <w:left w:val="nil"/>
              <w:bottom w:val="single" w:sz="8" w:space="0" w:color="auto"/>
              <w:right w:val="single" w:sz="8" w:space="0" w:color="000000"/>
            </w:tcBorders>
            <w:shd w:val="clear" w:color="000000" w:fill="9BC2E6"/>
            <w:vAlign w:val="center"/>
          </w:tcPr>
          <w:p w:rsidR="008B08DF" w:rsidRPr="008B08DF" w:rsidRDefault="008B08DF" w:rsidP="00E07E1D">
            <w:pPr>
              <w:spacing w:after="0" w:line="240" w:lineRule="auto"/>
              <w:jc w:val="center"/>
              <w:rPr>
                <w:rFonts w:eastAsia="Times New Roman" w:cstheme="minorHAnsi"/>
                <w:b/>
                <w:bCs/>
                <w:sz w:val="24"/>
                <w:szCs w:val="24"/>
                <w:lang w:eastAsia="en-GB"/>
              </w:rPr>
            </w:pPr>
            <w:r>
              <w:rPr>
                <w:rFonts w:eastAsia="Times New Roman" w:cstheme="minorHAnsi"/>
                <w:b/>
                <w:bCs/>
                <w:sz w:val="24"/>
                <w:szCs w:val="24"/>
                <w:lang w:eastAsia="en-GB"/>
              </w:rPr>
              <w:t>33.33%</w:t>
            </w:r>
          </w:p>
        </w:tc>
      </w:tr>
    </w:tbl>
    <w:p w:rsidR="0010308E" w:rsidRPr="00834A39" w:rsidRDefault="0010308E" w:rsidP="004135C2">
      <w:pPr>
        <w:pStyle w:val="ListParagraph"/>
        <w:numPr>
          <w:ilvl w:val="0"/>
          <w:numId w:val="1"/>
        </w:numPr>
        <w:spacing w:before="240" w:after="0" w:line="240" w:lineRule="auto"/>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34A39">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Mean Bonus Gaps</w:t>
      </w:r>
      <w:r w:rsidRPr="00834A39">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34A39" w:rsidRPr="00834A39">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834A39">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BH negative </w:t>
      </w:r>
      <w:r w:rsidR="001B556F" w:rsidRPr="00834A39">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834A39">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result</w:t>
      </w:r>
      <w:r w:rsidR="00834A39" w:rsidRPr="00834A39">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834A39">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between 2017 </w:t>
      </w:r>
      <w:r w:rsidR="00834A39">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w:t>
      </w:r>
      <w:r w:rsidRPr="00834A39">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2019 </w:t>
      </w:r>
      <w:r w:rsidR="001B556F" w:rsidRPr="00834A39">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are</w:t>
      </w:r>
      <w:r w:rsidR="00187A94" w:rsidRPr="00834A39">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834A39">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positive to females. LDH had a negative result for females (albeit closer to NHS average) at circa 35% </w:t>
      </w:r>
      <w:r w:rsidR="00187A94" w:rsidRPr="00834A39">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a b</w:t>
      </w:r>
      <w:r w:rsidRPr="00834A39">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est result of 30.8% by year end 2021 when BH reached a more comparable 27.61%.  </w:t>
      </w:r>
    </w:p>
    <w:p w:rsidR="00834A39" w:rsidRDefault="00834A39" w:rsidP="001B556F">
      <w:pPr>
        <w:pStyle w:val="ListParagraph"/>
        <w:spacing w:before="240" w:after="0" w:line="240" w:lineRule="auto"/>
        <w:ind w:left="360"/>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10308E" w:rsidRPr="00E15818" w:rsidRDefault="0010308E" w:rsidP="004135C2">
      <w:pPr>
        <w:pStyle w:val="ListParagraph"/>
        <w:numPr>
          <w:ilvl w:val="0"/>
          <w:numId w:val="1"/>
        </w:numPr>
        <w:rPr>
          <w:rFonts w:ascii="Arial" w:hAnsi="Arial" w:cs="Arial"/>
          <w:b/>
          <w:u w:val="single"/>
        </w:rPr>
      </w:pPr>
      <w:r w:rsidRPr="00834A39">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Median Bonus Pay Gaps </w:t>
      </w:r>
      <w:r w:rsidR="004A4D97">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A4D97">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BHFT results for 2021 and 2022 show balancing and more consistency in results </w:t>
      </w:r>
      <w:r w:rsidR="004A4D97" w:rsidRPr="00E15818">
        <w:rPr>
          <w:rFonts w:ascii="Arial" w:hAnsi="Arial" w:cs="Arial"/>
          <w:b/>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but the site specific results need to be looked at in case any wider differentials still exist. </w:t>
      </w:r>
    </w:p>
    <w:p w:rsidR="004A4D97" w:rsidRPr="004A4D97" w:rsidRDefault="004A4D97" w:rsidP="004A4D97">
      <w:pPr>
        <w:spacing w:before="240" w:after="0"/>
        <w:rPr>
          <w:rFonts w:ascii="Arial" w:hAnsi="Arial" w:cs="Arial"/>
          <w:b/>
          <w:u w:val="single"/>
        </w:rPr>
      </w:pPr>
      <w:r w:rsidRPr="004A4D97">
        <w:rPr>
          <w:rFonts w:ascii="Arial" w:hAnsi="Arial" w:cs="Arial"/>
          <w:b/>
          <w:u w:val="single"/>
        </w:rPr>
        <w:t>Average Bonus pay LDH / BH BHFT</w:t>
      </w:r>
      <w:r>
        <w:rPr>
          <w:rFonts w:ascii="Arial" w:hAnsi="Arial" w:cs="Arial"/>
          <w:b/>
          <w:u w:val="single"/>
        </w:rPr>
        <w:t xml:space="preserve"> – from the chart that follows: </w:t>
      </w:r>
    </w:p>
    <w:p w:rsidR="004A4D97" w:rsidRPr="004A4D97" w:rsidRDefault="004A4D97" w:rsidP="004135C2">
      <w:pPr>
        <w:pStyle w:val="ListParagraph"/>
        <w:numPr>
          <w:ilvl w:val="0"/>
          <w:numId w:val="11"/>
        </w:numPr>
        <w:spacing w:before="240" w:after="0"/>
        <w:rPr>
          <w:rFonts w:ascii="Arial" w:hAnsi="Arial" w:cs="Arial"/>
        </w:rPr>
      </w:pPr>
      <w:r w:rsidRPr="004A4D97">
        <w:rPr>
          <w:rFonts w:ascii="Arial" w:hAnsi="Arial" w:cs="Arial"/>
        </w:rPr>
        <w:t>The chart shows higher average and mean bonus payments for BH staff than for LDH staff. Significantly BH female is the highest paid followed BH male, LDH male then LDH female</w:t>
      </w:r>
    </w:p>
    <w:p w:rsidR="004A4D97" w:rsidRPr="001108D9" w:rsidRDefault="004A4D97" w:rsidP="004A4D97">
      <w:pPr>
        <w:pStyle w:val="ListParagraph"/>
        <w:rPr>
          <w:rFonts w:ascii="Arial" w:hAnsi="Arial" w:cs="Arial"/>
          <w:color w:val="FF0000"/>
          <w:sz w:val="16"/>
          <w:szCs w:val="16"/>
        </w:rPr>
      </w:pPr>
    </w:p>
    <w:p w:rsidR="004A4D97" w:rsidRDefault="004A4D97" w:rsidP="004135C2">
      <w:pPr>
        <w:pStyle w:val="ListParagraph"/>
        <w:numPr>
          <w:ilvl w:val="0"/>
          <w:numId w:val="1"/>
        </w:numPr>
        <w:rPr>
          <w:rFonts w:ascii="Arial" w:hAnsi="Arial" w:cs="Arial"/>
        </w:rPr>
      </w:pPr>
      <w:r w:rsidRPr="004A4D97">
        <w:rPr>
          <w:rFonts w:ascii="Arial" w:hAnsi="Arial" w:cs="Arial"/>
        </w:rPr>
        <w:t xml:space="preserve">The female gap in bonus pay in 2021 between BH and LDH is £7775 (average) and £9575 (median) – the male gap between LDH and BH is £1288 (average) and £1005 (median). </w:t>
      </w:r>
    </w:p>
    <w:p w:rsidR="004A4D97" w:rsidRPr="004A4D97" w:rsidRDefault="004A4D97" w:rsidP="004A4D97">
      <w:pPr>
        <w:pStyle w:val="ListParagraph"/>
        <w:ind w:left="360"/>
        <w:rPr>
          <w:rFonts w:ascii="Arial" w:hAnsi="Arial" w:cs="Arial"/>
        </w:rPr>
      </w:pPr>
    </w:p>
    <w:p w:rsidR="004A4D97" w:rsidRPr="004A4D97" w:rsidRDefault="004A4D97" w:rsidP="004135C2">
      <w:pPr>
        <w:pStyle w:val="ListParagraph"/>
        <w:numPr>
          <w:ilvl w:val="0"/>
          <w:numId w:val="1"/>
        </w:numPr>
        <w:spacing w:after="0"/>
        <w:rPr>
          <w:rFonts w:ascii="Arial" w:hAnsi="Arial" w:cs="Arial"/>
        </w:rPr>
      </w:pPr>
      <w:r w:rsidRPr="004A4D97">
        <w:rPr>
          <w:rFonts w:ascii="Arial" w:hAnsi="Arial" w:cs="Arial"/>
        </w:rPr>
        <w:t>BH result is unusual, whereas LDH result is more in keeping with national Acute Trust results</w:t>
      </w:r>
    </w:p>
    <w:p w:rsidR="004A4D97" w:rsidRPr="004A4D97" w:rsidRDefault="004A4D97" w:rsidP="004A4D97">
      <w:pPr>
        <w:pStyle w:val="ListParagraph"/>
        <w:rPr>
          <w:rFonts w:ascii="Arial" w:hAnsi="Arial" w:cs="Arial"/>
          <w:b/>
          <w:sz w:val="16"/>
          <w:szCs w:val="16"/>
        </w:rPr>
      </w:pPr>
    </w:p>
    <w:p w:rsidR="0071625C" w:rsidRPr="0071625C" w:rsidRDefault="0071625C" w:rsidP="004135C2">
      <w:pPr>
        <w:pStyle w:val="ListParagraph"/>
        <w:numPr>
          <w:ilvl w:val="0"/>
          <w:numId w:val="1"/>
        </w:numPr>
        <w:rPr>
          <w:rFonts w:ascii="Arial" w:hAnsi="Arial" w:cs="Arial"/>
          <w:b/>
          <w:i/>
          <w:u w:val="single"/>
        </w:rPr>
      </w:pPr>
      <w:r>
        <w:rPr>
          <w:rFonts w:ascii="Arial" w:hAnsi="Arial" w:cs="Arial"/>
          <w:b/>
        </w:rPr>
        <w:t xml:space="preserve">The data in the merged </w:t>
      </w:r>
      <w:r w:rsidR="004A4D97" w:rsidRPr="0071625C">
        <w:rPr>
          <w:rFonts w:ascii="Arial" w:hAnsi="Arial" w:cs="Arial"/>
          <w:b/>
        </w:rPr>
        <w:t xml:space="preserve">BHFT </w:t>
      </w:r>
      <w:r>
        <w:rPr>
          <w:rFonts w:ascii="Arial" w:hAnsi="Arial" w:cs="Arial"/>
          <w:b/>
        </w:rPr>
        <w:t xml:space="preserve">2021 </w:t>
      </w:r>
      <w:r w:rsidR="004A4D97" w:rsidRPr="0071625C">
        <w:rPr>
          <w:rFonts w:ascii="Arial" w:hAnsi="Arial" w:cs="Arial"/>
          <w:b/>
        </w:rPr>
        <w:t>result</w:t>
      </w:r>
      <w:r>
        <w:rPr>
          <w:rFonts w:ascii="Arial" w:hAnsi="Arial" w:cs="Arial"/>
          <w:b/>
        </w:rPr>
        <w:t xml:space="preserve"> has a m</w:t>
      </w:r>
      <w:r w:rsidR="004A4D97" w:rsidRPr="0071625C">
        <w:rPr>
          <w:rFonts w:ascii="Arial" w:hAnsi="Arial" w:cs="Arial"/>
          <w:b/>
        </w:rPr>
        <w:t xml:space="preserve">ean gap </w:t>
      </w:r>
      <w:r>
        <w:rPr>
          <w:rFonts w:ascii="Arial" w:hAnsi="Arial" w:cs="Arial"/>
          <w:b/>
        </w:rPr>
        <w:t>of</w:t>
      </w:r>
      <w:r w:rsidR="004A4D97" w:rsidRPr="0071625C">
        <w:rPr>
          <w:rFonts w:ascii="Arial" w:hAnsi="Arial" w:cs="Arial"/>
          <w:b/>
        </w:rPr>
        <w:t xml:space="preserve"> 20.22% </w:t>
      </w:r>
      <w:r>
        <w:rPr>
          <w:rFonts w:ascii="Arial" w:hAnsi="Arial" w:cs="Arial"/>
          <w:b/>
        </w:rPr>
        <w:t>/ m</w:t>
      </w:r>
      <w:r w:rsidR="004A4D97" w:rsidRPr="0071625C">
        <w:rPr>
          <w:rFonts w:ascii="Arial" w:hAnsi="Arial" w:cs="Arial"/>
          <w:b/>
        </w:rPr>
        <w:t xml:space="preserve">edian </w:t>
      </w:r>
      <w:r>
        <w:rPr>
          <w:rFonts w:ascii="Arial" w:hAnsi="Arial" w:cs="Arial"/>
          <w:b/>
        </w:rPr>
        <w:t xml:space="preserve">of </w:t>
      </w:r>
      <w:r w:rsidR="004A4D97" w:rsidRPr="0071625C">
        <w:rPr>
          <w:rFonts w:ascii="Arial" w:hAnsi="Arial" w:cs="Arial"/>
          <w:b/>
        </w:rPr>
        <w:t xml:space="preserve">33.33% which is a better result but disguises the difference on the 2 sites. </w:t>
      </w:r>
      <w:r w:rsidR="004A4D97" w:rsidRPr="0071625C">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BHFT results for 2022 </w:t>
      </w:r>
      <w:r>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also </w:t>
      </w:r>
      <w:r w:rsidR="004A4D97" w:rsidRPr="0071625C">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show balancing and more consistency in results </w:t>
      </w:r>
      <w:r w:rsidR="004A4D97" w:rsidRPr="0071625C">
        <w:rPr>
          <w:rFonts w:ascii="Arial" w:hAnsi="Arial" w:cs="Arial"/>
          <w:b/>
          <w:i/>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but the site specific results need to be looked at in case any wider differentials still exist. </w:t>
      </w:r>
    </w:p>
    <w:tbl>
      <w:tblPr>
        <w:tblW w:w="9629" w:type="dxa"/>
        <w:tblLook w:val="04A0" w:firstRow="1" w:lastRow="0" w:firstColumn="1" w:lastColumn="0" w:noHBand="0" w:noVBand="1"/>
      </w:tblPr>
      <w:tblGrid>
        <w:gridCol w:w="893"/>
        <w:gridCol w:w="940"/>
        <w:gridCol w:w="960"/>
        <w:gridCol w:w="882"/>
        <w:gridCol w:w="993"/>
        <w:gridCol w:w="893"/>
        <w:gridCol w:w="1020"/>
        <w:gridCol w:w="1020"/>
        <w:gridCol w:w="1020"/>
        <w:gridCol w:w="1008"/>
      </w:tblGrid>
      <w:tr w:rsidR="0071625C" w:rsidRPr="0071625C" w:rsidTr="008631E6">
        <w:trPr>
          <w:trHeight w:val="520"/>
        </w:trPr>
        <w:tc>
          <w:tcPr>
            <w:tcW w:w="893" w:type="dxa"/>
            <w:vMerge w:val="restart"/>
            <w:tcBorders>
              <w:top w:val="single" w:sz="8" w:space="0" w:color="auto"/>
              <w:left w:val="single" w:sz="8" w:space="0" w:color="auto"/>
              <w:bottom w:val="single" w:sz="8" w:space="0" w:color="auto"/>
              <w:right w:val="single" w:sz="8" w:space="0" w:color="auto"/>
            </w:tcBorders>
            <w:shd w:val="clear" w:color="000000" w:fill="8DB4E2"/>
            <w:vAlign w:val="center"/>
            <w:hideMark/>
          </w:tcPr>
          <w:p w:rsidR="0071625C" w:rsidRPr="0071625C" w:rsidRDefault="0071625C" w:rsidP="0071625C">
            <w:pPr>
              <w:spacing w:after="0" w:line="240" w:lineRule="auto"/>
              <w:rPr>
                <w:rFonts w:ascii="Calibri" w:eastAsia="Times New Roman" w:hAnsi="Calibri" w:cs="Calibri"/>
                <w:b/>
                <w:bCs/>
                <w:lang w:eastAsia="en-GB"/>
              </w:rPr>
            </w:pPr>
            <w:r w:rsidRPr="0071625C">
              <w:rPr>
                <w:rFonts w:ascii="Calibri" w:eastAsia="Times New Roman" w:hAnsi="Calibri" w:cs="Calibri"/>
                <w:b/>
                <w:bCs/>
                <w:lang w:eastAsia="en-GB"/>
              </w:rPr>
              <w:t>Gender</w:t>
            </w:r>
          </w:p>
        </w:tc>
        <w:tc>
          <w:tcPr>
            <w:tcW w:w="1900" w:type="dxa"/>
            <w:gridSpan w:val="2"/>
            <w:tcBorders>
              <w:top w:val="single" w:sz="8" w:space="0" w:color="auto"/>
              <w:left w:val="nil"/>
              <w:bottom w:val="single" w:sz="8" w:space="0" w:color="auto"/>
              <w:right w:val="single" w:sz="8" w:space="0" w:color="auto"/>
            </w:tcBorders>
            <w:shd w:val="clear" w:color="auto" w:fill="auto"/>
            <w:vAlign w:val="center"/>
            <w:hideMark/>
          </w:tcPr>
          <w:p w:rsidR="0071625C" w:rsidRPr="0071625C" w:rsidRDefault="0071625C" w:rsidP="0071625C">
            <w:pPr>
              <w:spacing w:after="0" w:line="240" w:lineRule="auto"/>
              <w:jc w:val="center"/>
              <w:rPr>
                <w:rFonts w:ascii="Calibri" w:eastAsia="Times New Roman" w:hAnsi="Calibri" w:cs="Calibri"/>
                <w:b/>
                <w:bCs/>
                <w:sz w:val="20"/>
                <w:szCs w:val="20"/>
                <w:lang w:eastAsia="en-GB"/>
              </w:rPr>
            </w:pPr>
            <w:r w:rsidRPr="0071625C">
              <w:rPr>
                <w:rFonts w:ascii="Calibri" w:eastAsia="Times New Roman" w:hAnsi="Calibri" w:cs="Calibri"/>
                <w:b/>
                <w:bCs/>
                <w:sz w:val="20"/>
                <w:szCs w:val="20"/>
                <w:lang w:eastAsia="en-GB"/>
              </w:rPr>
              <w:t xml:space="preserve">AVERAGE BONUS PAY 2021  </w:t>
            </w:r>
          </w:p>
        </w:tc>
        <w:tc>
          <w:tcPr>
            <w:tcW w:w="1875" w:type="dxa"/>
            <w:gridSpan w:val="2"/>
            <w:tcBorders>
              <w:top w:val="single" w:sz="8" w:space="0" w:color="auto"/>
              <w:left w:val="nil"/>
              <w:bottom w:val="single" w:sz="8" w:space="0" w:color="auto"/>
              <w:right w:val="single" w:sz="8" w:space="0" w:color="auto"/>
            </w:tcBorders>
            <w:shd w:val="clear" w:color="auto" w:fill="auto"/>
            <w:vAlign w:val="center"/>
            <w:hideMark/>
          </w:tcPr>
          <w:p w:rsidR="0071625C" w:rsidRPr="0071625C" w:rsidRDefault="0071625C" w:rsidP="0071625C">
            <w:pPr>
              <w:spacing w:after="0" w:line="240" w:lineRule="auto"/>
              <w:jc w:val="center"/>
              <w:rPr>
                <w:rFonts w:ascii="Calibri" w:eastAsia="Times New Roman" w:hAnsi="Calibri" w:cs="Calibri"/>
                <w:b/>
                <w:bCs/>
                <w:sz w:val="20"/>
                <w:szCs w:val="20"/>
                <w:lang w:eastAsia="en-GB"/>
              </w:rPr>
            </w:pPr>
            <w:r w:rsidRPr="0071625C">
              <w:rPr>
                <w:rFonts w:ascii="Calibri" w:eastAsia="Times New Roman" w:hAnsi="Calibri" w:cs="Calibri"/>
                <w:b/>
                <w:bCs/>
                <w:sz w:val="20"/>
                <w:szCs w:val="20"/>
                <w:lang w:eastAsia="en-GB"/>
              </w:rPr>
              <w:t>MEDIAN BONUS PAY 2021 FOR :</w:t>
            </w:r>
          </w:p>
        </w:tc>
        <w:tc>
          <w:tcPr>
            <w:tcW w:w="893" w:type="dxa"/>
            <w:vMerge w:val="restart"/>
            <w:tcBorders>
              <w:top w:val="single" w:sz="8" w:space="0" w:color="auto"/>
              <w:left w:val="single" w:sz="8" w:space="0" w:color="auto"/>
              <w:bottom w:val="single" w:sz="8" w:space="0" w:color="auto"/>
              <w:right w:val="single" w:sz="8" w:space="0" w:color="auto"/>
            </w:tcBorders>
            <w:shd w:val="clear" w:color="000000" w:fill="8DB4E2"/>
            <w:vAlign w:val="center"/>
            <w:hideMark/>
          </w:tcPr>
          <w:p w:rsidR="0071625C" w:rsidRPr="0071625C" w:rsidRDefault="0071625C" w:rsidP="0071625C">
            <w:pPr>
              <w:spacing w:after="0" w:line="240" w:lineRule="auto"/>
              <w:rPr>
                <w:rFonts w:ascii="Calibri" w:eastAsia="Times New Roman" w:hAnsi="Calibri" w:cs="Calibri"/>
                <w:b/>
                <w:bCs/>
                <w:lang w:eastAsia="en-GB"/>
              </w:rPr>
            </w:pPr>
            <w:r w:rsidRPr="0071625C">
              <w:rPr>
                <w:rFonts w:ascii="Calibri" w:eastAsia="Times New Roman" w:hAnsi="Calibri" w:cs="Calibri"/>
                <w:b/>
                <w:bCs/>
                <w:lang w:eastAsia="en-GB"/>
              </w:rPr>
              <w:t>Gender</w:t>
            </w:r>
          </w:p>
        </w:tc>
        <w:tc>
          <w:tcPr>
            <w:tcW w:w="2040" w:type="dxa"/>
            <w:gridSpan w:val="2"/>
            <w:tcBorders>
              <w:top w:val="single" w:sz="8" w:space="0" w:color="auto"/>
              <w:left w:val="nil"/>
              <w:bottom w:val="single" w:sz="8" w:space="0" w:color="auto"/>
              <w:right w:val="single" w:sz="8" w:space="0" w:color="auto"/>
            </w:tcBorders>
            <w:shd w:val="clear" w:color="000000" w:fill="8DB4E2"/>
            <w:vAlign w:val="center"/>
            <w:hideMark/>
          </w:tcPr>
          <w:p w:rsidR="0071625C" w:rsidRPr="0071625C" w:rsidRDefault="0071625C" w:rsidP="0071625C">
            <w:pPr>
              <w:spacing w:after="0" w:line="240" w:lineRule="auto"/>
              <w:jc w:val="center"/>
              <w:rPr>
                <w:rFonts w:ascii="Calibri" w:eastAsia="Times New Roman" w:hAnsi="Calibri" w:cs="Calibri"/>
                <w:b/>
                <w:bCs/>
                <w:lang w:eastAsia="en-GB"/>
              </w:rPr>
            </w:pPr>
            <w:r w:rsidRPr="0071625C">
              <w:rPr>
                <w:rFonts w:ascii="Calibri" w:eastAsia="Times New Roman" w:hAnsi="Calibri" w:cs="Calibri"/>
                <w:b/>
                <w:bCs/>
                <w:lang w:eastAsia="en-GB"/>
              </w:rPr>
              <w:t xml:space="preserve">BHFT 2021 </w:t>
            </w:r>
          </w:p>
        </w:tc>
        <w:tc>
          <w:tcPr>
            <w:tcW w:w="2028" w:type="dxa"/>
            <w:gridSpan w:val="2"/>
            <w:tcBorders>
              <w:top w:val="single" w:sz="8" w:space="0" w:color="auto"/>
              <w:left w:val="nil"/>
              <w:bottom w:val="single" w:sz="8" w:space="0" w:color="auto"/>
              <w:right w:val="single" w:sz="8" w:space="0" w:color="auto"/>
            </w:tcBorders>
            <w:shd w:val="clear" w:color="000000" w:fill="8DB4E2"/>
            <w:vAlign w:val="center"/>
            <w:hideMark/>
          </w:tcPr>
          <w:p w:rsidR="0071625C" w:rsidRPr="0071625C" w:rsidRDefault="008631E6" w:rsidP="0071625C">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BHFT 2022</w:t>
            </w:r>
          </w:p>
        </w:tc>
      </w:tr>
      <w:tr w:rsidR="0071625C" w:rsidRPr="0071625C" w:rsidTr="008631E6">
        <w:trPr>
          <w:trHeight w:val="527"/>
        </w:trPr>
        <w:tc>
          <w:tcPr>
            <w:tcW w:w="893" w:type="dxa"/>
            <w:vMerge/>
            <w:tcBorders>
              <w:top w:val="single" w:sz="8" w:space="0" w:color="auto"/>
              <w:left w:val="single" w:sz="8" w:space="0" w:color="auto"/>
              <w:bottom w:val="single" w:sz="8" w:space="0" w:color="auto"/>
              <w:right w:val="single" w:sz="8" w:space="0" w:color="auto"/>
            </w:tcBorders>
            <w:vAlign w:val="center"/>
            <w:hideMark/>
          </w:tcPr>
          <w:p w:rsidR="0071625C" w:rsidRPr="0071625C" w:rsidRDefault="0071625C" w:rsidP="0071625C">
            <w:pPr>
              <w:spacing w:after="0" w:line="240" w:lineRule="auto"/>
              <w:rPr>
                <w:rFonts w:ascii="Calibri" w:eastAsia="Times New Roman" w:hAnsi="Calibri" w:cs="Calibri"/>
                <w:b/>
                <w:bCs/>
                <w:lang w:eastAsia="en-GB"/>
              </w:rPr>
            </w:pPr>
          </w:p>
        </w:tc>
        <w:tc>
          <w:tcPr>
            <w:tcW w:w="940" w:type="dxa"/>
            <w:tcBorders>
              <w:top w:val="nil"/>
              <w:left w:val="nil"/>
              <w:bottom w:val="single" w:sz="8" w:space="0" w:color="auto"/>
              <w:right w:val="single" w:sz="8" w:space="0" w:color="auto"/>
            </w:tcBorders>
            <w:shd w:val="clear" w:color="000000" w:fill="C6E0B4"/>
            <w:vAlign w:val="center"/>
            <w:hideMark/>
          </w:tcPr>
          <w:p w:rsidR="0071625C" w:rsidRPr="0071625C" w:rsidRDefault="0071625C" w:rsidP="0071625C">
            <w:pPr>
              <w:spacing w:after="0" w:line="240" w:lineRule="auto"/>
              <w:jc w:val="center"/>
              <w:rPr>
                <w:rFonts w:ascii="Calibri" w:eastAsia="Times New Roman" w:hAnsi="Calibri" w:cs="Calibri"/>
                <w:b/>
                <w:bCs/>
                <w:lang w:eastAsia="en-GB"/>
              </w:rPr>
            </w:pPr>
            <w:r w:rsidRPr="0071625C">
              <w:rPr>
                <w:rFonts w:ascii="Calibri" w:eastAsia="Times New Roman" w:hAnsi="Calibri" w:cs="Calibri"/>
                <w:b/>
                <w:bCs/>
                <w:lang w:eastAsia="en-GB"/>
              </w:rPr>
              <w:t xml:space="preserve">LDH </w:t>
            </w:r>
          </w:p>
        </w:tc>
        <w:tc>
          <w:tcPr>
            <w:tcW w:w="960" w:type="dxa"/>
            <w:tcBorders>
              <w:top w:val="nil"/>
              <w:left w:val="nil"/>
              <w:bottom w:val="single" w:sz="8" w:space="0" w:color="auto"/>
              <w:right w:val="single" w:sz="8" w:space="0" w:color="auto"/>
            </w:tcBorders>
            <w:shd w:val="clear" w:color="000000" w:fill="DDEBF7"/>
            <w:vAlign w:val="center"/>
            <w:hideMark/>
          </w:tcPr>
          <w:p w:rsidR="0071625C" w:rsidRPr="0071625C" w:rsidRDefault="0071625C" w:rsidP="0071625C">
            <w:pPr>
              <w:spacing w:after="0" w:line="240" w:lineRule="auto"/>
              <w:jc w:val="center"/>
              <w:rPr>
                <w:rFonts w:ascii="Calibri" w:eastAsia="Times New Roman" w:hAnsi="Calibri" w:cs="Calibri"/>
                <w:b/>
                <w:bCs/>
                <w:lang w:eastAsia="en-GB"/>
              </w:rPr>
            </w:pPr>
            <w:r w:rsidRPr="0071625C">
              <w:rPr>
                <w:rFonts w:ascii="Calibri" w:eastAsia="Times New Roman" w:hAnsi="Calibri" w:cs="Calibri"/>
                <w:b/>
                <w:bCs/>
                <w:lang w:eastAsia="en-GB"/>
              </w:rPr>
              <w:t>BH</w:t>
            </w:r>
          </w:p>
        </w:tc>
        <w:tc>
          <w:tcPr>
            <w:tcW w:w="882" w:type="dxa"/>
            <w:tcBorders>
              <w:top w:val="nil"/>
              <w:left w:val="nil"/>
              <w:bottom w:val="single" w:sz="8" w:space="0" w:color="auto"/>
              <w:right w:val="single" w:sz="8" w:space="0" w:color="auto"/>
            </w:tcBorders>
            <w:shd w:val="clear" w:color="000000" w:fill="C6E0B4"/>
            <w:vAlign w:val="center"/>
            <w:hideMark/>
          </w:tcPr>
          <w:p w:rsidR="0071625C" w:rsidRPr="0071625C" w:rsidRDefault="0071625C" w:rsidP="0071625C">
            <w:pPr>
              <w:spacing w:after="0" w:line="240" w:lineRule="auto"/>
              <w:jc w:val="center"/>
              <w:rPr>
                <w:rFonts w:ascii="Calibri" w:eastAsia="Times New Roman" w:hAnsi="Calibri" w:cs="Calibri"/>
                <w:b/>
                <w:bCs/>
                <w:lang w:eastAsia="en-GB"/>
              </w:rPr>
            </w:pPr>
            <w:r w:rsidRPr="0071625C">
              <w:rPr>
                <w:rFonts w:ascii="Calibri" w:eastAsia="Times New Roman" w:hAnsi="Calibri" w:cs="Calibri"/>
                <w:b/>
                <w:bCs/>
                <w:lang w:eastAsia="en-GB"/>
              </w:rPr>
              <w:t xml:space="preserve">LDH </w:t>
            </w:r>
          </w:p>
        </w:tc>
        <w:tc>
          <w:tcPr>
            <w:tcW w:w="993" w:type="dxa"/>
            <w:tcBorders>
              <w:top w:val="nil"/>
              <w:left w:val="nil"/>
              <w:bottom w:val="single" w:sz="8" w:space="0" w:color="auto"/>
              <w:right w:val="single" w:sz="8" w:space="0" w:color="auto"/>
            </w:tcBorders>
            <w:shd w:val="clear" w:color="000000" w:fill="DDEBF7"/>
            <w:vAlign w:val="center"/>
            <w:hideMark/>
          </w:tcPr>
          <w:p w:rsidR="0071625C" w:rsidRPr="0071625C" w:rsidRDefault="0071625C" w:rsidP="0071625C">
            <w:pPr>
              <w:spacing w:after="0" w:line="240" w:lineRule="auto"/>
              <w:jc w:val="center"/>
              <w:rPr>
                <w:rFonts w:ascii="Calibri" w:eastAsia="Times New Roman" w:hAnsi="Calibri" w:cs="Calibri"/>
                <w:b/>
                <w:bCs/>
                <w:lang w:eastAsia="en-GB"/>
              </w:rPr>
            </w:pPr>
            <w:r w:rsidRPr="0071625C">
              <w:rPr>
                <w:rFonts w:ascii="Calibri" w:eastAsia="Times New Roman" w:hAnsi="Calibri" w:cs="Calibri"/>
                <w:b/>
                <w:bCs/>
                <w:lang w:eastAsia="en-GB"/>
              </w:rPr>
              <w:t>BH</w:t>
            </w:r>
          </w:p>
        </w:tc>
        <w:tc>
          <w:tcPr>
            <w:tcW w:w="893" w:type="dxa"/>
            <w:vMerge/>
            <w:tcBorders>
              <w:top w:val="single" w:sz="8" w:space="0" w:color="auto"/>
              <w:left w:val="single" w:sz="8" w:space="0" w:color="auto"/>
              <w:bottom w:val="single" w:sz="8" w:space="0" w:color="auto"/>
              <w:right w:val="single" w:sz="8" w:space="0" w:color="auto"/>
            </w:tcBorders>
            <w:vAlign w:val="center"/>
            <w:hideMark/>
          </w:tcPr>
          <w:p w:rsidR="0071625C" w:rsidRPr="0071625C" w:rsidRDefault="0071625C" w:rsidP="0071625C">
            <w:pPr>
              <w:spacing w:after="0" w:line="240" w:lineRule="auto"/>
              <w:rPr>
                <w:rFonts w:ascii="Calibri" w:eastAsia="Times New Roman" w:hAnsi="Calibri" w:cs="Calibri"/>
                <w:b/>
                <w:bCs/>
                <w:lang w:eastAsia="en-GB"/>
              </w:rPr>
            </w:pPr>
          </w:p>
        </w:tc>
        <w:tc>
          <w:tcPr>
            <w:tcW w:w="1020" w:type="dxa"/>
            <w:tcBorders>
              <w:top w:val="nil"/>
              <w:left w:val="nil"/>
              <w:bottom w:val="single" w:sz="8" w:space="0" w:color="auto"/>
              <w:right w:val="single" w:sz="8" w:space="0" w:color="auto"/>
            </w:tcBorders>
            <w:shd w:val="clear" w:color="auto" w:fill="auto"/>
            <w:vAlign w:val="center"/>
            <w:hideMark/>
          </w:tcPr>
          <w:p w:rsidR="0071625C" w:rsidRPr="0071625C" w:rsidRDefault="0071625C" w:rsidP="0071625C">
            <w:pPr>
              <w:spacing w:after="0" w:line="240" w:lineRule="auto"/>
              <w:jc w:val="center"/>
              <w:rPr>
                <w:rFonts w:ascii="Calibri" w:eastAsia="Times New Roman" w:hAnsi="Calibri" w:cs="Calibri"/>
                <w:b/>
                <w:bCs/>
                <w:lang w:eastAsia="en-GB"/>
              </w:rPr>
            </w:pPr>
            <w:r w:rsidRPr="0071625C">
              <w:rPr>
                <w:rFonts w:ascii="Calibri" w:eastAsia="Times New Roman" w:hAnsi="Calibri" w:cs="Calibri"/>
                <w:b/>
                <w:bCs/>
                <w:lang w:eastAsia="en-GB"/>
              </w:rPr>
              <w:t>Average Bonus £</w:t>
            </w:r>
          </w:p>
        </w:tc>
        <w:tc>
          <w:tcPr>
            <w:tcW w:w="1020" w:type="dxa"/>
            <w:tcBorders>
              <w:top w:val="nil"/>
              <w:left w:val="nil"/>
              <w:bottom w:val="single" w:sz="8" w:space="0" w:color="auto"/>
              <w:right w:val="single" w:sz="8" w:space="0" w:color="auto"/>
            </w:tcBorders>
            <w:shd w:val="clear" w:color="auto" w:fill="auto"/>
            <w:vAlign w:val="center"/>
            <w:hideMark/>
          </w:tcPr>
          <w:p w:rsidR="0071625C" w:rsidRPr="0071625C" w:rsidRDefault="0071625C" w:rsidP="0071625C">
            <w:pPr>
              <w:spacing w:after="0" w:line="240" w:lineRule="auto"/>
              <w:jc w:val="center"/>
              <w:rPr>
                <w:rFonts w:ascii="Calibri" w:eastAsia="Times New Roman" w:hAnsi="Calibri" w:cs="Calibri"/>
                <w:b/>
                <w:bCs/>
                <w:lang w:eastAsia="en-GB"/>
              </w:rPr>
            </w:pPr>
            <w:r w:rsidRPr="0071625C">
              <w:rPr>
                <w:rFonts w:ascii="Calibri" w:eastAsia="Times New Roman" w:hAnsi="Calibri" w:cs="Calibri"/>
                <w:b/>
                <w:bCs/>
                <w:lang w:eastAsia="en-GB"/>
              </w:rPr>
              <w:t>Median Bonus £</w:t>
            </w:r>
          </w:p>
        </w:tc>
        <w:tc>
          <w:tcPr>
            <w:tcW w:w="1020" w:type="dxa"/>
            <w:tcBorders>
              <w:top w:val="nil"/>
              <w:left w:val="nil"/>
              <w:bottom w:val="single" w:sz="8" w:space="0" w:color="auto"/>
              <w:right w:val="single" w:sz="8" w:space="0" w:color="auto"/>
            </w:tcBorders>
            <w:shd w:val="clear" w:color="auto" w:fill="auto"/>
            <w:vAlign w:val="center"/>
            <w:hideMark/>
          </w:tcPr>
          <w:p w:rsidR="0071625C" w:rsidRPr="0071625C" w:rsidRDefault="0071625C" w:rsidP="0071625C">
            <w:pPr>
              <w:spacing w:after="0" w:line="240" w:lineRule="auto"/>
              <w:jc w:val="center"/>
              <w:rPr>
                <w:rFonts w:ascii="Calibri" w:eastAsia="Times New Roman" w:hAnsi="Calibri" w:cs="Calibri"/>
                <w:b/>
                <w:bCs/>
                <w:lang w:eastAsia="en-GB"/>
              </w:rPr>
            </w:pPr>
            <w:r w:rsidRPr="0071625C">
              <w:rPr>
                <w:rFonts w:ascii="Calibri" w:eastAsia="Times New Roman" w:hAnsi="Calibri" w:cs="Calibri"/>
                <w:b/>
                <w:bCs/>
                <w:lang w:eastAsia="en-GB"/>
              </w:rPr>
              <w:t>Average Bonus £</w:t>
            </w:r>
          </w:p>
        </w:tc>
        <w:tc>
          <w:tcPr>
            <w:tcW w:w="1008" w:type="dxa"/>
            <w:tcBorders>
              <w:top w:val="nil"/>
              <w:left w:val="nil"/>
              <w:bottom w:val="single" w:sz="8" w:space="0" w:color="auto"/>
              <w:right w:val="single" w:sz="8" w:space="0" w:color="auto"/>
            </w:tcBorders>
            <w:shd w:val="clear" w:color="auto" w:fill="auto"/>
            <w:vAlign w:val="center"/>
            <w:hideMark/>
          </w:tcPr>
          <w:p w:rsidR="0071625C" w:rsidRPr="0071625C" w:rsidRDefault="0071625C" w:rsidP="0071625C">
            <w:pPr>
              <w:spacing w:after="0" w:line="240" w:lineRule="auto"/>
              <w:jc w:val="center"/>
              <w:rPr>
                <w:rFonts w:ascii="Calibri" w:eastAsia="Times New Roman" w:hAnsi="Calibri" w:cs="Calibri"/>
                <w:b/>
                <w:bCs/>
                <w:lang w:eastAsia="en-GB"/>
              </w:rPr>
            </w:pPr>
            <w:r w:rsidRPr="0071625C">
              <w:rPr>
                <w:rFonts w:ascii="Calibri" w:eastAsia="Times New Roman" w:hAnsi="Calibri" w:cs="Calibri"/>
                <w:b/>
                <w:bCs/>
                <w:lang w:eastAsia="en-GB"/>
              </w:rPr>
              <w:t>Median Bonus £</w:t>
            </w:r>
          </w:p>
        </w:tc>
      </w:tr>
      <w:tr w:rsidR="0071625C" w:rsidRPr="0071625C" w:rsidTr="008631E6">
        <w:trPr>
          <w:trHeight w:val="294"/>
        </w:trPr>
        <w:tc>
          <w:tcPr>
            <w:tcW w:w="893" w:type="dxa"/>
            <w:tcBorders>
              <w:top w:val="nil"/>
              <w:left w:val="single" w:sz="8" w:space="0" w:color="auto"/>
              <w:bottom w:val="single" w:sz="8" w:space="0" w:color="auto"/>
              <w:right w:val="single" w:sz="8" w:space="0" w:color="auto"/>
            </w:tcBorders>
            <w:shd w:val="clear" w:color="000000" w:fill="8DB4E2"/>
            <w:vAlign w:val="center"/>
            <w:hideMark/>
          </w:tcPr>
          <w:p w:rsidR="0071625C" w:rsidRPr="0071625C" w:rsidRDefault="0071625C" w:rsidP="0071625C">
            <w:pPr>
              <w:spacing w:after="0" w:line="240" w:lineRule="auto"/>
              <w:rPr>
                <w:rFonts w:ascii="Calibri" w:eastAsia="Times New Roman" w:hAnsi="Calibri" w:cs="Calibri"/>
                <w:b/>
                <w:bCs/>
                <w:lang w:eastAsia="en-GB"/>
              </w:rPr>
            </w:pPr>
            <w:r w:rsidRPr="0071625C">
              <w:rPr>
                <w:rFonts w:ascii="Calibri" w:eastAsia="Times New Roman" w:hAnsi="Calibri" w:cs="Calibri"/>
                <w:b/>
                <w:bCs/>
                <w:lang w:eastAsia="en-GB"/>
              </w:rPr>
              <w:t>Fem</w:t>
            </w:r>
            <w:r>
              <w:rPr>
                <w:rFonts w:ascii="Calibri" w:eastAsia="Times New Roman" w:hAnsi="Calibri" w:cs="Calibri"/>
                <w:b/>
                <w:bCs/>
                <w:lang w:eastAsia="en-GB"/>
              </w:rPr>
              <w:t>.</w:t>
            </w:r>
          </w:p>
        </w:tc>
        <w:tc>
          <w:tcPr>
            <w:tcW w:w="940" w:type="dxa"/>
            <w:tcBorders>
              <w:top w:val="nil"/>
              <w:left w:val="nil"/>
              <w:bottom w:val="single" w:sz="8" w:space="0" w:color="auto"/>
              <w:right w:val="single" w:sz="8" w:space="0" w:color="auto"/>
            </w:tcBorders>
            <w:shd w:val="clear" w:color="000000" w:fill="FFFFFF"/>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£7,255</w:t>
            </w:r>
          </w:p>
        </w:tc>
        <w:tc>
          <w:tcPr>
            <w:tcW w:w="960" w:type="dxa"/>
            <w:tcBorders>
              <w:top w:val="nil"/>
              <w:left w:val="nil"/>
              <w:bottom w:val="single" w:sz="8" w:space="0" w:color="auto"/>
              <w:right w:val="single" w:sz="8" w:space="0" w:color="auto"/>
            </w:tcBorders>
            <w:shd w:val="clear" w:color="000000" w:fill="FFFFFF"/>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£15,030</w:t>
            </w:r>
          </w:p>
        </w:tc>
        <w:tc>
          <w:tcPr>
            <w:tcW w:w="882" w:type="dxa"/>
            <w:tcBorders>
              <w:top w:val="nil"/>
              <w:left w:val="nil"/>
              <w:bottom w:val="single" w:sz="8" w:space="0" w:color="auto"/>
              <w:right w:val="single" w:sz="8" w:space="0" w:color="auto"/>
            </w:tcBorders>
            <w:shd w:val="clear" w:color="000000" w:fill="FFFFFF"/>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£5,405</w:t>
            </w:r>
          </w:p>
        </w:tc>
        <w:tc>
          <w:tcPr>
            <w:tcW w:w="993" w:type="dxa"/>
            <w:tcBorders>
              <w:top w:val="nil"/>
              <w:left w:val="nil"/>
              <w:bottom w:val="single" w:sz="8" w:space="0" w:color="auto"/>
              <w:right w:val="single" w:sz="8" w:space="0" w:color="auto"/>
            </w:tcBorders>
            <w:shd w:val="clear" w:color="000000" w:fill="FFFFFF"/>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£15,080</w:t>
            </w:r>
          </w:p>
        </w:tc>
        <w:tc>
          <w:tcPr>
            <w:tcW w:w="893" w:type="dxa"/>
            <w:tcBorders>
              <w:top w:val="nil"/>
              <w:left w:val="nil"/>
              <w:bottom w:val="single" w:sz="8" w:space="0" w:color="auto"/>
              <w:right w:val="single" w:sz="8" w:space="0" w:color="auto"/>
            </w:tcBorders>
            <w:shd w:val="clear" w:color="000000" w:fill="8DB4E2"/>
            <w:vAlign w:val="center"/>
            <w:hideMark/>
          </w:tcPr>
          <w:p w:rsidR="0071625C" w:rsidRPr="0071625C" w:rsidRDefault="0071625C" w:rsidP="0071625C">
            <w:pPr>
              <w:spacing w:after="0" w:line="240" w:lineRule="auto"/>
              <w:rPr>
                <w:rFonts w:ascii="Calibri" w:eastAsia="Times New Roman" w:hAnsi="Calibri" w:cs="Calibri"/>
                <w:b/>
                <w:bCs/>
                <w:lang w:eastAsia="en-GB"/>
              </w:rPr>
            </w:pPr>
            <w:r w:rsidRPr="0071625C">
              <w:rPr>
                <w:rFonts w:ascii="Calibri" w:eastAsia="Times New Roman" w:hAnsi="Calibri" w:cs="Calibri"/>
                <w:b/>
                <w:bCs/>
                <w:lang w:eastAsia="en-GB"/>
              </w:rPr>
              <w:t>Fem</w:t>
            </w:r>
            <w:r>
              <w:rPr>
                <w:rFonts w:ascii="Calibri" w:eastAsia="Times New Roman" w:hAnsi="Calibri" w:cs="Calibri"/>
                <w:b/>
                <w:bCs/>
                <w:lang w:eastAsia="en-GB"/>
              </w:rPr>
              <w:t>.</w:t>
            </w:r>
          </w:p>
        </w:tc>
        <w:tc>
          <w:tcPr>
            <w:tcW w:w="1020" w:type="dxa"/>
            <w:tcBorders>
              <w:top w:val="nil"/>
              <w:left w:val="nil"/>
              <w:bottom w:val="single" w:sz="8" w:space="0" w:color="auto"/>
              <w:right w:val="single" w:sz="8" w:space="0" w:color="auto"/>
            </w:tcBorders>
            <w:shd w:val="clear" w:color="auto" w:fill="auto"/>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£8,744</w:t>
            </w:r>
          </w:p>
        </w:tc>
        <w:tc>
          <w:tcPr>
            <w:tcW w:w="1020" w:type="dxa"/>
            <w:tcBorders>
              <w:top w:val="nil"/>
              <w:left w:val="nil"/>
              <w:bottom w:val="single" w:sz="8" w:space="0" w:color="auto"/>
              <w:right w:val="single" w:sz="8" w:space="0" w:color="auto"/>
            </w:tcBorders>
            <w:shd w:val="clear" w:color="auto" w:fill="auto"/>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£6,032</w:t>
            </w:r>
          </w:p>
        </w:tc>
        <w:tc>
          <w:tcPr>
            <w:tcW w:w="1020" w:type="dxa"/>
            <w:tcBorders>
              <w:top w:val="nil"/>
              <w:left w:val="nil"/>
              <w:bottom w:val="single" w:sz="8" w:space="0" w:color="auto"/>
              <w:right w:val="single" w:sz="8" w:space="0" w:color="auto"/>
            </w:tcBorders>
            <w:shd w:val="clear" w:color="auto" w:fill="auto"/>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£8,744</w:t>
            </w:r>
          </w:p>
        </w:tc>
        <w:tc>
          <w:tcPr>
            <w:tcW w:w="1008" w:type="dxa"/>
            <w:tcBorders>
              <w:top w:val="nil"/>
              <w:left w:val="nil"/>
              <w:bottom w:val="single" w:sz="8" w:space="0" w:color="auto"/>
              <w:right w:val="single" w:sz="8" w:space="0" w:color="auto"/>
            </w:tcBorders>
            <w:shd w:val="clear" w:color="auto" w:fill="auto"/>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£6,032</w:t>
            </w:r>
          </w:p>
        </w:tc>
      </w:tr>
      <w:tr w:rsidR="0071625C" w:rsidRPr="0071625C" w:rsidTr="008631E6">
        <w:trPr>
          <w:trHeight w:val="294"/>
        </w:trPr>
        <w:tc>
          <w:tcPr>
            <w:tcW w:w="893" w:type="dxa"/>
            <w:tcBorders>
              <w:top w:val="nil"/>
              <w:left w:val="single" w:sz="8" w:space="0" w:color="auto"/>
              <w:bottom w:val="single" w:sz="8" w:space="0" w:color="auto"/>
              <w:right w:val="single" w:sz="8" w:space="0" w:color="auto"/>
            </w:tcBorders>
            <w:shd w:val="clear" w:color="000000" w:fill="8DB4E2"/>
            <w:vAlign w:val="center"/>
            <w:hideMark/>
          </w:tcPr>
          <w:p w:rsidR="0071625C" w:rsidRPr="0071625C" w:rsidRDefault="0071625C" w:rsidP="0071625C">
            <w:pPr>
              <w:spacing w:after="0" w:line="240" w:lineRule="auto"/>
              <w:rPr>
                <w:rFonts w:ascii="Calibri" w:eastAsia="Times New Roman" w:hAnsi="Calibri" w:cs="Calibri"/>
                <w:b/>
                <w:bCs/>
                <w:lang w:eastAsia="en-GB"/>
              </w:rPr>
            </w:pPr>
            <w:r w:rsidRPr="0071625C">
              <w:rPr>
                <w:rFonts w:ascii="Calibri" w:eastAsia="Times New Roman" w:hAnsi="Calibri" w:cs="Calibri"/>
                <w:b/>
                <w:bCs/>
                <w:lang w:eastAsia="en-GB"/>
              </w:rPr>
              <w:t>Male</w:t>
            </w:r>
          </w:p>
        </w:tc>
        <w:tc>
          <w:tcPr>
            <w:tcW w:w="940" w:type="dxa"/>
            <w:tcBorders>
              <w:top w:val="nil"/>
              <w:left w:val="nil"/>
              <w:bottom w:val="single" w:sz="8" w:space="0" w:color="auto"/>
              <w:right w:val="single" w:sz="8" w:space="0" w:color="auto"/>
            </w:tcBorders>
            <w:shd w:val="clear" w:color="000000" w:fill="FFFFFF"/>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£10,490</w:t>
            </w:r>
          </w:p>
        </w:tc>
        <w:tc>
          <w:tcPr>
            <w:tcW w:w="960" w:type="dxa"/>
            <w:tcBorders>
              <w:top w:val="nil"/>
              <w:left w:val="nil"/>
              <w:bottom w:val="single" w:sz="8" w:space="0" w:color="auto"/>
              <w:right w:val="single" w:sz="8" w:space="0" w:color="auto"/>
            </w:tcBorders>
            <w:shd w:val="clear" w:color="000000" w:fill="FFFFFF"/>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£11,778</w:t>
            </w:r>
          </w:p>
        </w:tc>
        <w:tc>
          <w:tcPr>
            <w:tcW w:w="882" w:type="dxa"/>
            <w:tcBorders>
              <w:top w:val="nil"/>
              <w:left w:val="nil"/>
              <w:bottom w:val="single" w:sz="8" w:space="0" w:color="auto"/>
              <w:right w:val="single" w:sz="8" w:space="0" w:color="auto"/>
            </w:tcBorders>
            <w:shd w:val="clear" w:color="000000" w:fill="FFFFFF"/>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£8,043</w:t>
            </w:r>
          </w:p>
        </w:tc>
        <w:tc>
          <w:tcPr>
            <w:tcW w:w="993" w:type="dxa"/>
            <w:tcBorders>
              <w:top w:val="nil"/>
              <w:left w:val="nil"/>
              <w:bottom w:val="single" w:sz="8" w:space="0" w:color="auto"/>
              <w:right w:val="single" w:sz="8" w:space="0" w:color="auto"/>
            </w:tcBorders>
            <w:shd w:val="clear" w:color="000000" w:fill="FFFFFF"/>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£9,048</w:t>
            </w:r>
          </w:p>
        </w:tc>
        <w:tc>
          <w:tcPr>
            <w:tcW w:w="893" w:type="dxa"/>
            <w:tcBorders>
              <w:top w:val="nil"/>
              <w:left w:val="nil"/>
              <w:bottom w:val="single" w:sz="8" w:space="0" w:color="auto"/>
              <w:right w:val="single" w:sz="8" w:space="0" w:color="auto"/>
            </w:tcBorders>
            <w:shd w:val="clear" w:color="000000" w:fill="8DB4E2"/>
            <w:vAlign w:val="center"/>
            <w:hideMark/>
          </w:tcPr>
          <w:p w:rsidR="0071625C" w:rsidRPr="0071625C" w:rsidRDefault="0071625C" w:rsidP="0071625C">
            <w:pPr>
              <w:spacing w:after="0" w:line="240" w:lineRule="auto"/>
              <w:rPr>
                <w:rFonts w:ascii="Calibri" w:eastAsia="Times New Roman" w:hAnsi="Calibri" w:cs="Calibri"/>
                <w:b/>
                <w:bCs/>
                <w:lang w:eastAsia="en-GB"/>
              </w:rPr>
            </w:pPr>
            <w:r w:rsidRPr="0071625C">
              <w:rPr>
                <w:rFonts w:ascii="Calibri" w:eastAsia="Times New Roman" w:hAnsi="Calibri" w:cs="Calibri"/>
                <w:b/>
                <w:bCs/>
                <w:lang w:eastAsia="en-GB"/>
              </w:rPr>
              <w:t>Male</w:t>
            </w:r>
          </w:p>
        </w:tc>
        <w:tc>
          <w:tcPr>
            <w:tcW w:w="1020" w:type="dxa"/>
            <w:tcBorders>
              <w:top w:val="nil"/>
              <w:left w:val="nil"/>
              <w:bottom w:val="single" w:sz="8" w:space="0" w:color="auto"/>
              <w:right w:val="single" w:sz="8" w:space="0" w:color="auto"/>
            </w:tcBorders>
            <w:shd w:val="clear" w:color="auto" w:fill="auto"/>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£10,959</w:t>
            </w:r>
          </w:p>
        </w:tc>
        <w:tc>
          <w:tcPr>
            <w:tcW w:w="1020" w:type="dxa"/>
            <w:tcBorders>
              <w:top w:val="nil"/>
              <w:left w:val="nil"/>
              <w:bottom w:val="single" w:sz="8" w:space="0" w:color="auto"/>
              <w:right w:val="single" w:sz="8" w:space="0" w:color="auto"/>
            </w:tcBorders>
            <w:shd w:val="clear" w:color="auto" w:fill="auto"/>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£9,048</w:t>
            </w:r>
          </w:p>
        </w:tc>
        <w:tc>
          <w:tcPr>
            <w:tcW w:w="1020" w:type="dxa"/>
            <w:tcBorders>
              <w:top w:val="nil"/>
              <w:left w:val="nil"/>
              <w:bottom w:val="single" w:sz="8" w:space="0" w:color="auto"/>
              <w:right w:val="single" w:sz="8" w:space="0" w:color="auto"/>
            </w:tcBorders>
            <w:shd w:val="clear" w:color="auto" w:fill="auto"/>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£10,959</w:t>
            </w:r>
          </w:p>
        </w:tc>
        <w:tc>
          <w:tcPr>
            <w:tcW w:w="1008" w:type="dxa"/>
            <w:tcBorders>
              <w:top w:val="nil"/>
              <w:left w:val="nil"/>
              <w:bottom w:val="single" w:sz="8" w:space="0" w:color="auto"/>
              <w:right w:val="single" w:sz="8" w:space="0" w:color="auto"/>
            </w:tcBorders>
            <w:shd w:val="clear" w:color="auto" w:fill="auto"/>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£9,048</w:t>
            </w:r>
          </w:p>
        </w:tc>
      </w:tr>
      <w:tr w:rsidR="0071625C" w:rsidRPr="0071625C" w:rsidTr="008631E6">
        <w:trPr>
          <w:trHeight w:val="294"/>
        </w:trPr>
        <w:tc>
          <w:tcPr>
            <w:tcW w:w="893" w:type="dxa"/>
            <w:tcBorders>
              <w:top w:val="nil"/>
              <w:left w:val="single" w:sz="8" w:space="0" w:color="auto"/>
              <w:bottom w:val="single" w:sz="8" w:space="0" w:color="auto"/>
              <w:right w:val="single" w:sz="8" w:space="0" w:color="auto"/>
            </w:tcBorders>
            <w:shd w:val="clear" w:color="000000" w:fill="8DB4E2"/>
            <w:vAlign w:val="center"/>
            <w:hideMark/>
          </w:tcPr>
          <w:p w:rsidR="0071625C" w:rsidRPr="0071625C" w:rsidRDefault="0071625C" w:rsidP="0071625C">
            <w:pPr>
              <w:spacing w:after="0" w:line="240" w:lineRule="auto"/>
              <w:rPr>
                <w:rFonts w:ascii="Calibri" w:eastAsia="Times New Roman" w:hAnsi="Calibri" w:cs="Calibri"/>
                <w:b/>
                <w:bCs/>
                <w:lang w:eastAsia="en-GB"/>
              </w:rPr>
            </w:pPr>
            <w:r w:rsidRPr="0071625C">
              <w:rPr>
                <w:rFonts w:ascii="Calibri" w:eastAsia="Times New Roman" w:hAnsi="Calibri" w:cs="Calibri"/>
                <w:b/>
                <w:bCs/>
                <w:lang w:eastAsia="en-GB"/>
              </w:rPr>
              <w:t>Diff</w:t>
            </w:r>
            <w:r>
              <w:rPr>
                <w:rFonts w:ascii="Calibri" w:eastAsia="Times New Roman" w:hAnsi="Calibri" w:cs="Calibri"/>
                <w:b/>
                <w:bCs/>
                <w:lang w:eastAsia="en-GB"/>
              </w:rPr>
              <w:t>.</w:t>
            </w:r>
          </w:p>
        </w:tc>
        <w:tc>
          <w:tcPr>
            <w:tcW w:w="940" w:type="dxa"/>
            <w:tcBorders>
              <w:top w:val="nil"/>
              <w:left w:val="nil"/>
              <w:bottom w:val="single" w:sz="8" w:space="0" w:color="auto"/>
              <w:right w:val="single" w:sz="8" w:space="0" w:color="auto"/>
            </w:tcBorders>
            <w:shd w:val="clear" w:color="auto" w:fill="auto"/>
            <w:noWrap/>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£3,235</w:t>
            </w:r>
          </w:p>
        </w:tc>
        <w:tc>
          <w:tcPr>
            <w:tcW w:w="960" w:type="dxa"/>
            <w:tcBorders>
              <w:top w:val="nil"/>
              <w:left w:val="nil"/>
              <w:bottom w:val="single" w:sz="8" w:space="0" w:color="auto"/>
              <w:right w:val="single" w:sz="8" w:space="0" w:color="auto"/>
            </w:tcBorders>
            <w:shd w:val="clear" w:color="auto" w:fill="auto"/>
            <w:noWrap/>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color w:val="FF0000"/>
                <w:lang w:eastAsia="en-GB"/>
              </w:rPr>
              <w:t>-£3,252</w:t>
            </w:r>
          </w:p>
        </w:tc>
        <w:tc>
          <w:tcPr>
            <w:tcW w:w="882" w:type="dxa"/>
            <w:tcBorders>
              <w:top w:val="nil"/>
              <w:left w:val="nil"/>
              <w:bottom w:val="single" w:sz="8" w:space="0" w:color="auto"/>
              <w:right w:val="single" w:sz="8" w:space="0" w:color="auto"/>
            </w:tcBorders>
            <w:shd w:val="clear" w:color="auto" w:fill="auto"/>
            <w:noWrap/>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£2,638</w:t>
            </w:r>
          </w:p>
        </w:tc>
        <w:tc>
          <w:tcPr>
            <w:tcW w:w="993" w:type="dxa"/>
            <w:tcBorders>
              <w:top w:val="nil"/>
              <w:left w:val="nil"/>
              <w:bottom w:val="single" w:sz="8" w:space="0" w:color="auto"/>
              <w:right w:val="single" w:sz="8" w:space="0" w:color="auto"/>
            </w:tcBorders>
            <w:shd w:val="clear" w:color="auto" w:fill="auto"/>
            <w:noWrap/>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color w:val="FF0000"/>
                <w:lang w:eastAsia="en-GB"/>
              </w:rPr>
              <w:t>-£6,032</w:t>
            </w:r>
          </w:p>
        </w:tc>
        <w:tc>
          <w:tcPr>
            <w:tcW w:w="893" w:type="dxa"/>
            <w:tcBorders>
              <w:top w:val="nil"/>
              <w:left w:val="nil"/>
              <w:bottom w:val="single" w:sz="8" w:space="0" w:color="auto"/>
              <w:right w:val="single" w:sz="8" w:space="0" w:color="auto"/>
            </w:tcBorders>
            <w:shd w:val="clear" w:color="000000" w:fill="8DB4E2"/>
            <w:vAlign w:val="center"/>
            <w:hideMark/>
          </w:tcPr>
          <w:p w:rsidR="0071625C" w:rsidRPr="0071625C" w:rsidRDefault="0071625C" w:rsidP="0071625C">
            <w:pPr>
              <w:spacing w:after="0" w:line="240" w:lineRule="auto"/>
              <w:rPr>
                <w:rFonts w:ascii="Calibri" w:eastAsia="Times New Roman" w:hAnsi="Calibri" w:cs="Calibri"/>
                <w:b/>
                <w:bCs/>
                <w:lang w:eastAsia="en-GB"/>
              </w:rPr>
            </w:pPr>
            <w:r w:rsidRPr="0071625C">
              <w:rPr>
                <w:rFonts w:ascii="Calibri" w:eastAsia="Times New Roman" w:hAnsi="Calibri" w:cs="Calibri"/>
                <w:b/>
                <w:bCs/>
                <w:lang w:eastAsia="en-GB"/>
              </w:rPr>
              <w:t>Diff</w:t>
            </w:r>
          </w:p>
        </w:tc>
        <w:tc>
          <w:tcPr>
            <w:tcW w:w="1020" w:type="dxa"/>
            <w:tcBorders>
              <w:top w:val="nil"/>
              <w:left w:val="nil"/>
              <w:bottom w:val="single" w:sz="8" w:space="0" w:color="auto"/>
              <w:right w:val="single" w:sz="8" w:space="0" w:color="auto"/>
            </w:tcBorders>
            <w:shd w:val="clear" w:color="auto" w:fill="auto"/>
            <w:noWrap/>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£2,216</w:t>
            </w:r>
          </w:p>
        </w:tc>
        <w:tc>
          <w:tcPr>
            <w:tcW w:w="1020" w:type="dxa"/>
            <w:tcBorders>
              <w:top w:val="nil"/>
              <w:left w:val="nil"/>
              <w:bottom w:val="single" w:sz="8" w:space="0" w:color="auto"/>
              <w:right w:val="single" w:sz="8" w:space="0" w:color="auto"/>
            </w:tcBorders>
            <w:shd w:val="clear" w:color="auto" w:fill="auto"/>
            <w:noWrap/>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£3,016</w:t>
            </w:r>
          </w:p>
        </w:tc>
        <w:tc>
          <w:tcPr>
            <w:tcW w:w="1020" w:type="dxa"/>
            <w:tcBorders>
              <w:top w:val="nil"/>
              <w:left w:val="nil"/>
              <w:bottom w:val="single" w:sz="8" w:space="0" w:color="auto"/>
              <w:right w:val="single" w:sz="8" w:space="0" w:color="auto"/>
            </w:tcBorders>
            <w:shd w:val="clear" w:color="auto" w:fill="auto"/>
            <w:noWrap/>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£2,216</w:t>
            </w:r>
          </w:p>
        </w:tc>
        <w:tc>
          <w:tcPr>
            <w:tcW w:w="1008" w:type="dxa"/>
            <w:tcBorders>
              <w:top w:val="nil"/>
              <w:left w:val="nil"/>
              <w:bottom w:val="single" w:sz="8" w:space="0" w:color="auto"/>
              <w:right w:val="single" w:sz="8" w:space="0" w:color="auto"/>
            </w:tcBorders>
            <w:shd w:val="clear" w:color="auto" w:fill="auto"/>
            <w:noWrap/>
            <w:vAlign w:val="center"/>
            <w:hideMark/>
          </w:tcPr>
          <w:p w:rsidR="0071625C" w:rsidRPr="0071625C" w:rsidRDefault="0071625C" w:rsidP="0071625C">
            <w:pPr>
              <w:spacing w:after="0" w:line="240" w:lineRule="auto"/>
              <w:jc w:val="right"/>
              <w:rPr>
                <w:rFonts w:ascii="Calibri" w:eastAsia="Times New Roman" w:hAnsi="Calibri" w:cs="Calibri"/>
                <w:lang w:eastAsia="en-GB"/>
              </w:rPr>
            </w:pPr>
            <w:r w:rsidRPr="0071625C">
              <w:rPr>
                <w:rFonts w:ascii="Calibri" w:eastAsia="Times New Roman" w:hAnsi="Calibri" w:cs="Calibri"/>
                <w:lang w:eastAsia="en-GB"/>
              </w:rPr>
              <w:t>£3,016</w:t>
            </w:r>
          </w:p>
        </w:tc>
      </w:tr>
      <w:tr w:rsidR="0071625C" w:rsidRPr="0071625C" w:rsidTr="008631E6">
        <w:trPr>
          <w:trHeight w:val="374"/>
        </w:trPr>
        <w:tc>
          <w:tcPr>
            <w:tcW w:w="893" w:type="dxa"/>
            <w:tcBorders>
              <w:top w:val="nil"/>
              <w:left w:val="single" w:sz="8" w:space="0" w:color="auto"/>
              <w:bottom w:val="single" w:sz="8" w:space="0" w:color="auto"/>
              <w:right w:val="single" w:sz="8" w:space="0" w:color="auto"/>
            </w:tcBorders>
            <w:shd w:val="clear" w:color="000000" w:fill="8DB4E2"/>
            <w:vAlign w:val="center"/>
            <w:hideMark/>
          </w:tcPr>
          <w:p w:rsidR="0071625C" w:rsidRPr="0071625C" w:rsidRDefault="0071625C" w:rsidP="0071625C">
            <w:pPr>
              <w:spacing w:after="0" w:line="240" w:lineRule="auto"/>
              <w:rPr>
                <w:rFonts w:ascii="Calibri" w:eastAsia="Times New Roman" w:hAnsi="Calibri" w:cs="Calibri"/>
                <w:b/>
                <w:bCs/>
                <w:lang w:eastAsia="en-GB"/>
              </w:rPr>
            </w:pPr>
            <w:r w:rsidRPr="0071625C">
              <w:rPr>
                <w:rFonts w:ascii="Calibri" w:eastAsia="Times New Roman" w:hAnsi="Calibri" w:cs="Calibri"/>
                <w:b/>
                <w:bCs/>
                <w:lang w:eastAsia="en-GB"/>
              </w:rPr>
              <w:t>Pay Gap %</w:t>
            </w:r>
          </w:p>
        </w:tc>
        <w:tc>
          <w:tcPr>
            <w:tcW w:w="940" w:type="dxa"/>
            <w:tcBorders>
              <w:top w:val="nil"/>
              <w:left w:val="nil"/>
              <w:bottom w:val="single" w:sz="8" w:space="0" w:color="auto"/>
              <w:right w:val="single" w:sz="8" w:space="0" w:color="auto"/>
            </w:tcBorders>
            <w:shd w:val="clear" w:color="000000" w:fill="D8E4BC"/>
            <w:vAlign w:val="center"/>
            <w:hideMark/>
          </w:tcPr>
          <w:p w:rsidR="0071625C" w:rsidRPr="0071625C" w:rsidRDefault="0071625C" w:rsidP="0071625C">
            <w:pPr>
              <w:spacing w:after="0" w:line="240" w:lineRule="auto"/>
              <w:jc w:val="right"/>
              <w:rPr>
                <w:rFonts w:ascii="Calibri" w:eastAsia="Times New Roman" w:hAnsi="Calibri" w:cs="Calibri"/>
                <w:b/>
                <w:bCs/>
                <w:lang w:eastAsia="en-GB"/>
              </w:rPr>
            </w:pPr>
            <w:r w:rsidRPr="0071625C">
              <w:rPr>
                <w:rFonts w:ascii="Calibri" w:eastAsia="Times New Roman" w:hAnsi="Calibri" w:cs="Calibri"/>
                <w:b/>
                <w:bCs/>
                <w:lang w:eastAsia="en-GB"/>
              </w:rPr>
              <w:t>30.84%</w:t>
            </w:r>
          </w:p>
        </w:tc>
        <w:tc>
          <w:tcPr>
            <w:tcW w:w="960" w:type="dxa"/>
            <w:tcBorders>
              <w:top w:val="nil"/>
              <w:left w:val="nil"/>
              <w:bottom w:val="single" w:sz="8" w:space="0" w:color="auto"/>
              <w:right w:val="single" w:sz="8" w:space="0" w:color="auto"/>
            </w:tcBorders>
            <w:shd w:val="clear" w:color="000000" w:fill="DBE5F1"/>
            <w:vAlign w:val="center"/>
            <w:hideMark/>
          </w:tcPr>
          <w:p w:rsidR="0071625C" w:rsidRPr="0071625C" w:rsidRDefault="0071625C" w:rsidP="0071625C">
            <w:pPr>
              <w:spacing w:after="0" w:line="240" w:lineRule="auto"/>
              <w:jc w:val="right"/>
              <w:rPr>
                <w:rFonts w:ascii="Calibri" w:eastAsia="Times New Roman" w:hAnsi="Calibri" w:cs="Calibri"/>
                <w:b/>
                <w:bCs/>
                <w:lang w:eastAsia="en-GB"/>
              </w:rPr>
            </w:pPr>
            <w:r w:rsidRPr="0071625C">
              <w:rPr>
                <w:rFonts w:ascii="Calibri" w:eastAsia="Times New Roman" w:hAnsi="Calibri" w:cs="Calibri"/>
                <w:b/>
                <w:bCs/>
                <w:lang w:eastAsia="en-GB"/>
              </w:rPr>
              <w:t>-27.61%</w:t>
            </w:r>
          </w:p>
        </w:tc>
        <w:tc>
          <w:tcPr>
            <w:tcW w:w="882" w:type="dxa"/>
            <w:tcBorders>
              <w:top w:val="nil"/>
              <w:left w:val="nil"/>
              <w:bottom w:val="single" w:sz="8" w:space="0" w:color="auto"/>
              <w:right w:val="single" w:sz="8" w:space="0" w:color="auto"/>
            </w:tcBorders>
            <w:shd w:val="clear" w:color="000000" w:fill="D8E4BC"/>
            <w:vAlign w:val="center"/>
            <w:hideMark/>
          </w:tcPr>
          <w:p w:rsidR="0071625C" w:rsidRPr="0071625C" w:rsidRDefault="0071625C" w:rsidP="0071625C">
            <w:pPr>
              <w:spacing w:after="0" w:line="240" w:lineRule="auto"/>
              <w:jc w:val="right"/>
              <w:rPr>
                <w:rFonts w:ascii="Calibri" w:eastAsia="Times New Roman" w:hAnsi="Calibri" w:cs="Calibri"/>
                <w:b/>
                <w:bCs/>
                <w:lang w:eastAsia="en-GB"/>
              </w:rPr>
            </w:pPr>
            <w:r w:rsidRPr="0071625C">
              <w:rPr>
                <w:rFonts w:ascii="Calibri" w:eastAsia="Times New Roman" w:hAnsi="Calibri" w:cs="Calibri"/>
                <w:b/>
                <w:bCs/>
                <w:lang w:eastAsia="en-GB"/>
              </w:rPr>
              <w:t>32.80%</w:t>
            </w:r>
          </w:p>
        </w:tc>
        <w:tc>
          <w:tcPr>
            <w:tcW w:w="993" w:type="dxa"/>
            <w:tcBorders>
              <w:top w:val="nil"/>
              <w:left w:val="nil"/>
              <w:bottom w:val="single" w:sz="8" w:space="0" w:color="auto"/>
              <w:right w:val="single" w:sz="8" w:space="0" w:color="auto"/>
            </w:tcBorders>
            <w:shd w:val="clear" w:color="000000" w:fill="DBE5F1"/>
            <w:vAlign w:val="center"/>
            <w:hideMark/>
          </w:tcPr>
          <w:p w:rsidR="0071625C" w:rsidRPr="0071625C" w:rsidRDefault="0071625C" w:rsidP="0071625C">
            <w:pPr>
              <w:spacing w:after="0" w:line="240" w:lineRule="auto"/>
              <w:jc w:val="right"/>
              <w:rPr>
                <w:rFonts w:ascii="Calibri" w:eastAsia="Times New Roman" w:hAnsi="Calibri" w:cs="Calibri"/>
                <w:b/>
                <w:bCs/>
                <w:lang w:eastAsia="en-GB"/>
              </w:rPr>
            </w:pPr>
            <w:r w:rsidRPr="0071625C">
              <w:rPr>
                <w:rFonts w:ascii="Calibri" w:eastAsia="Times New Roman" w:hAnsi="Calibri" w:cs="Calibri"/>
                <w:b/>
                <w:bCs/>
                <w:lang w:eastAsia="en-GB"/>
              </w:rPr>
              <w:t>-66.67%</w:t>
            </w:r>
          </w:p>
        </w:tc>
        <w:tc>
          <w:tcPr>
            <w:tcW w:w="893" w:type="dxa"/>
            <w:tcBorders>
              <w:top w:val="nil"/>
              <w:left w:val="nil"/>
              <w:bottom w:val="single" w:sz="8" w:space="0" w:color="auto"/>
              <w:right w:val="single" w:sz="8" w:space="0" w:color="auto"/>
            </w:tcBorders>
            <w:shd w:val="clear" w:color="000000" w:fill="8DB4E2"/>
            <w:vAlign w:val="center"/>
            <w:hideMark/>
          </w:tcPr>
          <w:p w:rsidR="0071625C" w:rsidRPr="0071625C" w:rsidRDefault="0071625C" w:rsidP="0071625C">
            <w:pPr>
              <w:spacing w:after="0" w:line="240" w:lineRule="auto"/>
              <w:rPr>
                <w:rFonts w:ascii="Calibri" w:eastAsia="Times New Roman" w:hAnsi="Calibri" w:cs="Calibri"/>
                <w:b/>
                <w:bCs/>
                <w:lang w:eastAsia="en-GB"/>
              </w:rPr>
            </w:pPr>
            <w:r w:rsidRPr="0071625C">
              <w:rPr>
                <w:rFonts w:ascii="Calibri" w:eastAsia="Times New Roman" w:hAnsi="Calibri" w:cs="Calibri"/>
                <w:b/>
                <w:bCs/>
                <w:lang w:eastAsia="en-GB"/>
              </w:rPr>
              <w:t>Pay Gap %</w:t>
            </w:r>
          </w:p>
        </w:tc>
        <w:tc>
          <w:tcPr>
            <w:tcW w:w="1020" w:type="dxa"/>
            <w:tcBorders>
              <w:top w:val="nil"/>
              <w:left w:val="nil"/>
              <w:bottom w:val="single" w:sz="8" w:space="0" w:color="auto"/>
              <w:right w:val="single" w:sz="8" w:space="0" w:color="auto"/>
            </w:tcBorders>
            <w:shd w:val="clear" w:color="000000" w:fill="8DB4E2"/>
            <w:vAlign w:val="center"/>
            <w:hideMark/>
          </w:tcPr>
          <w:p w:rsidR="0071625C" w:rsidRPr="0071625C" w:rsidRDefault="0071625C" w:rsidP="0071625C">
            <w:pPr>
              <w:spacing w:after="0" w:line="240" w:lineRule="auto"/>
              <w:jc w:val="right"/>
              <w:rPr>
                <w:rFonts w:ascii="Calibri" w:eastAsia="Times New Roman" w:hAnsi="Calibri" w:cs="Calibri"/>
                <w:b/>
                <w:bCs/>
                <w:lang w:eastAsia="en-GB"/>
              </w:rPr>
            </w:pPr>
            <w:r w:rsidRPr="0071625C">
              <w:rPr>
                <w:rFonts w:ascii="Calibri" w:eastAsia="Times New Roman" w:hAnsi="Calibri" w:cs="Calibri"/>
                <w:b/>
                <w:bCs/>
                <w:lang w:eastAsia="en-GB"/>
              </w:rPr>
              <w:t>20.22%</w:t>
            </w:r>
          </w:p>
        </w:tc>
        <w:tc>
          <w:tcPr>
            <w:tcW w:w="1020" w:type="dxa"/>
            <w:tcBorders>
              <w:top w:val="nil"/>
              <w:left w:val="nil"/>
              <w:bottom w:val="single" w:sz="8" w:space="0" w:color="auto"/>
              <w:right w:val="single" w:sz="8" w:space="0" w:color="auto"/>
            </w:tcBorders>
            <w:shd w:val="clear" w:color="000000" w:fill="8DB4E2"/>
            <w:vAlign w:val="center"/>
            <w:hideMark/>
          </w:tcPr>
          <w:p w:rsidR="0071625C" w:rsidRPr="0071625C" w:rsidRDefault="0071625C" w:rsidP="0071625C">
            <w:pPr>
              <w:spacing w:after="0" w:line="240" w:lineRule="auto"/>
              <w:jc w:val="right"/>
              <w:rPr>
                <w:rFonts w:ascii="Calibri" w:eastAsia="Times New Roman" w:hAnsi="Calibri" w:cs="Calibri"/>
                <w:b/>
                <w:bCs/>
                <w:lang w:eastAsia="en-GB"/>
              </w:rPr>
            </w:pPr>
            <w:r w:rsidRPr="0071625C">
              <w:rPr>
                <w:rFonts w:ascii="Calibri" w:eastAsia="Times New Roman" w:hAnsi="Calibri" w:cs="Calibri"/>
                <w:b/>
                <w:bCs/>
                <w:lang w:eastAsia="en-GB"/>
              </w:rPr>
              <w:t>33.33%</w:t>
            </w:r>
          </w:p>
        </w:tc>
        <w:tc>
          <w:tcPr>
            <w:tcW w:w="1020" w:type="dxa"/>
            <w:tcBorders>
              <w:top w:val="nil"/>
              <w:left w:val="nil"/>
              <w:bottom w:val="single" w:sz="8" w:space="0" w:color="auto"/>
              <w:right w:val="single" w:sz="8" w:space="0" w:color="auto"/>
            </w:tcBorders>
            <w:shd w:val="clear" w:color="000000" w:fill="8DB4E2"/>
            <w:vAlign w:val="center"/>
            <w:hideMark/>
          </w:tcPr>
          <w:p w:rsidR="0071625C" w:rsidRPr="0071625C" w:rsidRDefault="008631E6" w:rsidP="008631E6">
            <w:pPr>
              <w:spacing w:after="0" w:line="240" w:lineRule="auto"/>
              <w:jc w:val="right"/>
              <w:rPr>
                <w:rFonts w:ascii="Calibri" w:eastAsia="Times New Roman" w:hAnsi="Calibri" w:cs="Calibri"/>
                <w:b/>
                <w:bCs/>
                <w:lang w:eastAsia="en-GB"/>
              </w:rPr>
            </w:pPr>
            <w:r>
              <w:rPr>
                <w:rFonts w:ascii="Calibri" w:eastAsia="Times New Roman" w:hAnsi="Calibri" w:cs="Calibri"/>
                <w:b/>
                <w:bCs/>
                <w:lang w:eastAsia="en-GB"/>
              </w:rPr>
              <w:t>19.04</w:t>
            </w:r>
            <w:r w:rsidR="0071625C" w:rsidRPr="0071625C">
              <w:rPr>
                <w:rFonts w:ascii="Calibri" w:eastAsia="Times New Roman" w:hAnsi="Calibri" w:cs="Calibri"/>
                <w:b/>
                <w:bCs/>
                <w:lang w:eastAsia="en-GB"/>
              </w:rPr>
              <w:t>%</w:t>
            </w:r>
          </w:p>
        </w:tc>
        <w:tc>
          <w:tcPr>
            <w:tcW w:w="1008" w:type="dxa"/>
            <w:tcBorders>
              <w:top w:val="nil"/>
              <w:left w:val="nil"/>
              <w:bottom w:val="single" w:sz="8" w:space="0" w:color="auto"/>
              <w:right w:val="single" w:sz="8" w:space="0" w:color="auto"/>
            </w:tcBorders>
            <w:shd w:val="clear" w:color="000000" w:fill="8DB4E2"/>
            <w:vAlign w:val="center"/>
            <w:hideMark/>
          </w:tcPr>
          <w:p w:rsidR="0071625C" w:rsidRPr="0071625C" w:rsidRDefault="0071625C" w:rsidP="0071625C">
            <w:pPr>
              <w:spacing w:after="0" w:line="240" w:lineRule="auto"/>
              <w:jc w:val="right"/>
              <w:rPr>
                <w:rFonts w:ascii="Calibri" w:eastAsia="Times New Roman" w:hAnsi="Calibri" w:cs="Calibri"/>
                <w:b/>
                <w:bCs/>
                <w:lang w:eastAsia="en-GB"/>
              </w:rPr>
            </w:pPr>
            <w:r w:rsidRPr="0071625C">
              <w:rPr>
                <w:rFonts w:ascii="Calibri" w:eastAsia="Times New Roman" w:hAnsi="Calibri" w:cs="Calibri"/>
                <w:b/>
                <w:bCs/>
                <w:lang w:eastAsia="en-GB"/>
              </w:rPr>
              <w:t>33.33%</w:t>
            </w:r>
          </w:p>
        </w:tc>
      </w:tr>
    </w:tbl>
    <w:p w:rsidR="00952358" w:rsidRPr="001108D9" w:rsidRDefault="00952358" w:rsidP="006F059E">
      <w:pPr>
        <w:spacing w:after="0"/>
        <w:jc w:val="center"/>
        <w:rPr>
          <w:rFonts w:ascii="Arial" w:hAnsi="Arial" w:cs="Arial"/>
          <w:b/>
          <w:color w:val="FF000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W w:w="9629" w:type="dxa"/>
        <w:tblLook w:val="04A0" w:firstRow="1" w:lastRow="0" w:firstColumn="1" w:lastColumn="0" w:noHBand="0" w:noVBand="1"/>
      </w:tblPr>
      <w:tblGrid>
        <w:gridCol w:w="1266"/>
        <w:gridCol w:w="851"/>
        <w:gridCol w:w="901"/>
        <w:gridCol w:w="851"/>
        <w:gridCol w:w="838"/>
        <w:gridCol w:w="838"/>
        <w:gridCol w:w="976"/>
        <w:gridCol w:w="893"/>
        <w:gridCol w:w="798"/>
        <w:gridCol w:w="764"/>
        <w:gridCol w:w="770"/>
      </w:tblGrid>
      <w:tr w:rsidR="004135C2" w:rsidRPr="004135C2" w:rsidTr="004135C2">
        <w:trPr>
          <w:trHeight w:val="314"/>
        </w:trPr>
        <w:tc>
          <w:tcPr>
            <w:tcW w:w="6521" w:type="dxa"/>
            <w:gridSpan w:val="7"/>
            <w:tcBorders>
              <w:top w:val="single" w:sz="8" w:space="0" w:color="auto"/>
              <w:left w:val="single" w:sz="8" w:space="0" w:color="auto"/>
              <w:bottom w:val="single" w:sz="8" w:space="0" w:color="auto"/>
              <w:right w:val="single" w:sz="8" w:space="0" w:color="000000"/>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 xml:space="preserve">Medical consultants who receive a bonus by site </w:t>
            </w:r>
            <w:r>
              <w:rPr>
                <w:rFonts w:ascii="Calibri" w:eastAsia="Times New Roman" w:hAnsi="Calibri" w:cs="Calibri"/>
                <w:b/>
                <w:bCs/>
                <w:lang w:eastAsia="en-GB"/>
              </w:rPr>
              <w:t xml:space="preserve">/ </w:t>
            </w:r>
            <w:r w:rsidRPr="004135C2">
              <w:rPr>
                <w:rFonts w:ascii="Calibri" w:eastAsia="Times New Roman" w:hAnsi="Calibri" w:cs="Calibri"/>
                <w:b/>
                <w:bCs/>
                <w:lang w:eastAsia="en-GB"/>
              </w:rPr>
              <w:t xml:space="preserve">Trust wide </w:t>
            </w:r>
          </w:p>
        </w:tc>
        <w:tc>
          <w:tcPr>
            <w:tcW w:w="893" w:type="dxa"/>
            <w:tcBorders>
              <w:top w:val="single" w:sz="8" w:space="0" w:color="auto"/>
              <w:left w:val="nil"/>
              <w:bottom w:val="nil"/>
              <w:right w:val="single" w:sz="8" w:space="0" w:color="auto"/>
            </w:tcBorders>
            <w:shd w:val="clear" w:color="000000" w:fill="C5D9F1"/>
            <w:noWrap/>
            <w:vAlign w:val="bottom"/>
            <w:hideMark/>
          </w:tcPr>
          <w:p w:rsidR="004135C2" w:rsidRPr="004135C2" w:rsidRDefault="004135C2" w:rsidP="004135C2">
            <w:pPr>
              <w:spacing w:after="0" w:line="240" w:lineRule="auto"/>
              <w:rPr>
                <w:rFonts w:ascii="Calibri" w:eastAsia="Times New Roman" w:hAnsi="Calibri" w:cs="Calibri"/>
                <w:b/>
                <w:bCs/>
                <w:color w:val="000000"/>
                <w:lang w:eastAsia="en-GB"/>
              </w:rPr>
            </w:pPr>
            <w:r w:rsidRPr="004135C2">
              <w:rPr>
                <w:rFonts w:ascii="Calibri" w:eastAsia="Times New Roman" w:hAnsi="Calibri" w:cs="Calibri"/>
                <w:b/>
                <w:bCs/>
                <w:color w:val="000000"/>
                <w:lang w:eastAsia="en-GB"/>
              </w:rPr>
              <w:t>6 year</w:t>
            </w:r>
          </w:p>
        </w:tc>
        <w:tc>
          <w:tcPr>
            <w:tcW w:w="798" w:type="dxa"/>
            <w:tcBorders>
              <w:top w:val="single" w:sz="8" w:space="0" w:color="auto"/>
              <w:left w:val="nil"/>
              <w:bottom w:val="nil"/>
              <w:right w:val="single" w:sz="8" w:space="0" w:color="auto"/>
            </w:tcBorders>
            <w:shd w:val="clear" w:color="000000" w:fill="DCE6F1"/>
            <w:noWrap/>
            <w:vAlign w:val="bottom"/>
            <w:hideMark/>
          </w:tcPr>
          <w:p w:rsidR="004135C2" w:rsidRPr="004135C2" w:rsidRDefault="004135C2" w:rsidP="004135C2">
            <w:pPr>
              <w:spacing w:after="0" w:line="240" w:lineRule="auto"/>
              <w:jc w:val="center"/>
              <w:rPr>
                <w:rFonts w:ascii="Calibri" w:eastAsia="Times New Roman" w:hAnsi="Calibri" w:cs="Calibri"/>
                <w:b/>
                <w:bCs/>
                <w:color w:val="000000"/>
                <w:lang w:eastAsia="en-GB"/>
              </w:rPr>
            </w:pPr>
            <w:r w:rsidRPr="004135C2">
              <w:rPr>
                <w:rFonts w:ascii="Calibri" w:eastAsia="Times New Roman" w:hAnsi="Calibri" w:cs="Calibri"/>
                <w:b/>
                <w:bCs/>
                <w:color w:val="000000"/>
                <w:lang w:eastAsia="en-GB"/>
              </w:rPr>
              <w:t>2017</w:t>
            </w:r>
          </w:p>
        </w:tc>
        <w:tc>
          <w:tcPr>
            <w:tcW w:w="764" w:type="dxa"/>
            <w:tcBorders>
              <w:top w:val="single" w:sz="8" w:space="0" w:color="auto"/>
              <w:left w:val="nil"/>
              <w:bottom w:val="nil"/>
              <w:right w:val="single" w:sz="8" w:space="0" w:color="auto"/>
            </w:tcBorders>
            <w:shd w:val="clear" w:color="000000" w:fill="DCE6F1"/>
            <w:noWrap/>
            <w:vAlign w:val="bottom"/>
            <w:hideMark/>
          </w:tcPr>
          <w:p w:rsidR="004135C2" w:rsidRPr="004135C2" w:rsidRDefault="004135C2" w:rsidP="004135C2">
            <w:pPr>
              <w:spacing w:after="0" w:line="240" w:lineRule="auto"/>
              <w:jc w:val="center"/>
              <w:rPr>
                <w:rFonts w:ascii="Calibri" w:eastAsia="Times New Roman" w:hAnsi="Calibri" w:cs="Calibri"/>
                <w:b/>
                <w:bCs/>
                <w:color w:val="000000"/>
                <w:lang w:eastAsia="en-GB"/>
              </w:rPr>
            </w:pPr>
            <w:r w:rsidRPr="004135C2">
              <w:rPr>
                <w:rFonts w:ascii="Calibri" w:eastAsia="Times New Roman" w:hAnsi="Calibri" w:cs="Calibri"/>
                <w:b/>
                <w:bCs/>
                <w:color w:val="000000"/>
                <w:lang w:eastAsia="en-GB"/>
              </w:rPr>
              <w:t>2022</w:t>
            </w: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center"/>
              <w:rPr>
                <w:rFonts w:ascii="Calibri" w:eastAsia="Times New Roman" w:hAnsi="Calibri" w:cs="Calibri"/>
                <w:b/>
                <w:bCs/>
                <w:color w:val="000000"/>
                <w:lang w:eastAsia="en-GB"/>
              </w:rPr>
            </w:pPr>
          </w:p>
        </w:tc>
      </w:tr>
      <w:tr w:rsidR="004135C2" w:rsidRPr="004135C2" w:rsidTr="004135C2">
        <w:trPr>
          <w:trHeight w:val="294"/>
        </w:trPr>
        <w:tc>
          <w:tcPr>
            <w:tcW w:w="1266" w:type="dxa"/>
            <w:tcBorders>
              <w:top w:val="nil"/>
              <w:left w:val="single" w:sz="8" w:space="0" w:color="auto"/>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Year End</w:t>
            </w:r>
          </w:p>
        </w:tc>
        <w:tc>
          <w:tcPr>
            <w:tcW w:w="851"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2017</w:t>
            </w:r>
          </w:p>
        </w:tc>
        <w:tc>
          <w:tcPr>
            <w:tcW w:w="901"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2018</w:t>
            </w:r>
          </w:p>
        </w:tc>
        <w:tc>
          <w:tcPr>
            <w:tcW w:w="851"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2019</w:t>
            </w:r>
          </w:p>
        </w:tc>
        <w:tc>
          <w:tcPr>
            <w:tcW w:w="838"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2020</w:t>
            </w:r>
          </w:p>
        </w:tc>
        <w:tc>
          <w:tcPr>
            <w:tcW w:w="838"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2021</w:t>
            </w:r>
          </w:p>
        </w:tc>
        <w:tc>
          <w:tcPr>
            <w:tcW w:w="976"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2022</w:t>
            </w:r>
          </w:p>
        </w:tc>
        <w:tc>
          <w:tcPr>
            <w:tcW w:w="893" w:type="dxa"/>
            <w:tcBorders>
              <w:top w:val="nil"/>
              <w:left w:val="nil"/>
              <w:bottom w:val="single" w:sz="8" w:space="0" w:color="auto"/>
              <w:right w:val="single" w:sz="8" w:space="0" w:color="auto"/>
            </w:tcBorders>
            <w:shd w:val="clear" w:color="000000" w:fill="C5D9F1"/>
            <w:noWrap/>
            <w:vAlign w:val="bottom"/>
            <w:hideMark/>
          </w:tcPr>
          <w:p w:rsidR="004135C2" w:rsidRPr="004135C2" w:rsidRDefault="004135C2" w:rsidP="004135C2">
            <w:pPr>
              <w:spacing w:after="0" w:line="240" w:lineRule="auto"/>
              <w:rPr>
                <w:rFonts w:ascii="Calibri" w:eastAsia="Times New Roman" w:hAnsi="Calibri" w:cs="Calibri"/>
                <w:b/>
                <w:bCs/>
                <w:color w:val="000000"/>
                <w:lang w:eastAsia="en-GB"/>
              </w:rPr>
            </w:pPr>
            <w:r w:rsidRPr="004135C2">
              <w:rPr>
                <w:rFonts w:ascii="Calibri" w:eastAsia="Times New Roman" w:hAnsi="Calibri" w:cs="Calibri"/>
                <w:b/>
                <w:bCs/>
                <w:color w:val="000000"/>
                <w:lang w:eastAsia="en-GB"/>
              </w:rPr>
              <w:t xml:space="preserve">Change </w:t>
            </w:r>
          </w:p>
        </w:tc>
        <w:tc>
          <w:tcPr>
            <w:tcW w:w="798" w:type="dxa"/>
            <w:tcBorders>
              <w:top w:val="nil"/>
              <w:left w:val="nil"/>
              <w:bottom w:val="single" w:sz="8" w:space="0" w:color="auto"/>
              <w:right w:val="single" w:sz="8" w:space="0" w:color="auto"/>
            </w:tcBorders>
            <w:shd w:val="clear" w:color="000000" w:fill="DCE6F1"/>
            <w:noWrap/>
            <w:vAlign w:val="bottom"/>
            <w:hideMark/>
          </w:tcPr>
          <w:p w:rsidR="004135C2" w:rsidRPr="004135C2" w:rsidRDefault="004135C2" w:rsidP="004135C2">
            <w:pPr>
              <w:spacing w:after="0" w:line="240" w:lineRule="auto"/>
              <w:jc w:val="center"/>
              <w:rPr>
                <w:rFonts w:ascii="Calibri" w:eastAsia="Times New Roman" w:hAnsi="Calibri" w:cs="Calibri"/>
                <w:b/>
                <w:bCs/>
                <w:color w:val="000000"/>
                <w:lang w:eastAsia="en-GB"/>
              </w:rPr>
            </w:pPr>
            <w:r w:rsidRPr="004135C2">
              <w:rPr>
                <w:rFonts w:ascii="Calibri" w:eastAsia="Times New Roman" w:hAnsi="Calibri" w:cs="Calibri"/>
                <w:b/>
                <w:bCs/>
                <w:color w:val="000000"/>
                <w:lang w:eastAsia="en-GB"/>
              </w:rPr>
              <w:t xml:space="preserve">split </w:t>
            </w:r>
          </w:p>
        </w:tc>
        <w:tc>
          <w:tcPr>
            <w:tcW w:w="764" w:type="dxa"/>
            <w:tcBorders>
              <w:top w:val="nil"/>
              <w:left w:val="nil"/>
              <w:bottom w:val="single" w:sz="8" w:space="0" w:color="auto"/>
              <w:right w:val="single" w:sz="8" w:space="0" w:color="auto"/>
            </w:tcBorders>
            <w:shd w:val="clear" w:color="000000" w:fill="DCE6F1"/>
            <w:noWrap/>
            <w:vAlign w:val="bottom"/>
            <w:hideMark/>
          </w:tcPr>
          <w:p w:rsidR="004135C2" w:rsidRPr="004135C2" w:rsidRDefault="004135C2" w:rsidP="004135C2">
            <w:pPr>
              <w:spacing w:after="0" w:line="240" w:lineRule="auto"/>
              <w:jc w:val="center"/>
              <w:rPr>
                <w:rFonts w:ascii="Calibri" w:eastAsia="Times New Roman" w:hAnsi="Calibri" w:cs="Calibri"/>
                <w:b/>
                <w:bCs/>
                <w:color w:val="000000"/>
                <w:lang w:eastAsia="en-GB"/>
              </w:rPr>
            </w:pPr>
            <w:r w:rsidRPr="004135C2">
              <w:rPr>
                <w:rFonts w:ascii="Calibri" w:eastAsia="Times New Roman" w:hAnsi="Calibri" w:cs="Calibri"/>
                <w:b/>
                <w:bCs/>
                <w:color w:val="000000"/>
                <w:lang w:eastAsia="en-GB"/>
              </w:rPr>
              <w:t xml:space="preserve">Split </w:t>
            </w: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center"/>
              <w:rPr>
                <w:rFonts w:ascii="Calibri" w:eastAsia="Times New Roman" w:hAnsi="Calibri" w:cs="Calibri"/>
                <w:b/>
                <w:bCs/>
                <w:color w:val="000000"/>
                <w:lang w:eastAsia="en-GB"/>
              </w:rPr>
            </w:pPr>
          </w:p>
        </w:tc>
      </w:tr>
      <w:tr w:rsidR="004135C2" w:rsidRPr="004135C2" w:rsidTr="004135C2">
        <w:trPr>
          <w:trHeight w:val="247"/>
        </w:trPr>
        <w:tc>
          <w:tcPr>
            <w:tcW w:w="6521" w:type="dxa"/>
            <w:gridSpan w:val="7"/>
            <w:tcBorders>
              <w:top w:val="single" w:sz="8" w:space="0" w:color="auto"/>
              <w:left w:val="single" w:sz="8" w:space="0" w:color="auto"/>
              <w:bottom w:val="single" w:sz="8" w:space="0" w:color="auto"/>
              <w:right w:val="single" w:sz="8" w:space="0" w:color="000000"/>
            </w:tcBorders>
            <w:shd w:val="clear" w:color="000000" w:fill="E2EFDA"/>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LUTON</w:t>
            </w: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Calibri" w:eastAsia="Times New Roman" w:hAnsi="Calibri" w:cs="Calibri"/>
                <w:b/>
                <w:bCs/>
                <w:lang w:eastAsia="en-GB"/>
              </w:rPr>
            </w:pP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r>
      <w:tr w:rsidR="004135C2" w:rsidRPr="004135C2" w:rsidTr="004135C2">
        <w:trPr>
          <w:trHeight w:val="274"/>
        </w:trPr>
        <w:tc>
          <w:tcPr>
            <w:tcW w:w="1266" w:type="dxa"/>
            <w:tcBorders>
              <w:top w:val="nil"/>
              <w:left w:val="single" w:sz="8" w:space="0" w:color="auto"/>
              <w:bottom w:val="single" w:sz="8" w:space="0" w:color="auto"/>
              <w:right w:val="single" w:sz="8" w:space="0" w:color="auto"/>
            </w:tcBorders>
            <w:shd w:val="clear" w:color="000000" w:fill="E2EFDA"/>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Female </w:t>
            </w:r>
          </w:p>
        </w:tc>
        <w:tc>
          <w:tcPr>
            <w:tcW w:w="851" w:type="dxa"/>
            <w:tcBorders>
              <w:top w:val="nil"/>
              <w:left w:val="nil"/>
              <w:bottom w:val="single" w:sz="8" w:space="0" w:color="auto"/>
              <w:right w:val="single" w:sz="8" w:space="0" w:color="auto"/>
            </w:tcBorders>
            <w:shd w:val="clear" w:color="000000" w:fill="FFFFFF"/>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21</w:t>
            </w:r>
          </w:p>
        </w:tc>
        <w:tc>
          <w:tcPr>
            <w:tcW w:w="901" w:type="dxa"/>
            <w:tcBorders>
              <w:top w:val="nil"/>
              <w:left w:val="nil"/>
              <w:bottom w:val="single" w:sz="8" w:space="0" w:color="auto"/>
              <w:right w:val="single" w:sz="8" w:space="0" w:color="auto"/>
            </w:tcBorders>
            <w:shd w:val="clear" w:color="000000" w:fill="FFFFFF"/>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29</w:t>
            </w:r>
          </w:p>
        </w:tc>
        <w:tc>
          <w:tcPr>
            <w:tcW w:w="851"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35</w:t>
            </w:r>
          </w:p>
        </w:tc>
        <w:tc>
          <w:tcPr>
            <w:tcW w:w="838"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43</w:t>
            </w:r>
          </w:p>
        </w:tc>
        <w:tc>
          <w:tcPr>
            <w:tcW w:w="838" w:type="dxa"/>
            <w:tcBorders>
              <w:top w:val="nil"/>
              <w:left w:val="nil"/>
              <w:bottom w:val="single" w:sz="8" w:space="0" w:color="auto"/>
              <w:right w:val="single" w:sz="8" w:space="0" w:color="auto"/>
            </w:tcBorders>
            <w:shd w:val="clear" w:color="000000" w:fill="FFFFFF"/>
            <w:vAlign w:val="center"/>
            <w:hideMark/>
          </w:tcPr>
          <w:p w:rsidR="004135C2" w:rsidRPr="009D61F7" w:rsidRDefault="004135C2" w:rsidP="004135C2">
            <w:pPr>
              <w:spacing w:after="0" w:line="240" w:lineRule="auto"/>
              <w:jc w:val="center"/>
              <w:rPr>
                <w:rFonts w:ascii="Calibri" w:eastAsia="Times New Roman" w:hAnsi="Calibri" w:cs="Calibri"/>
                <w:lang w:eastAsia="en-GB"/>
              </w:rPr>
            </w:pPr>
            <w:r w:rsidRPr="009D61F7">
              <w:rPr>
                <w:rFonts w:ascii="Calibri" w:eastAsia="Times New Roman" w:hAnsi="Calibri" w:cs="Calibri"/>
                <w:lang w:eastAsia="en-GB"/>
              </w:rPr>
              <w:t>38</w:t>
            </w:r>
          </w:p>
        </w:tc>
        <w:tc>
          <w:tcPr>
            <w:tcW w:w="976" w:type="dxa"/>
            <w:tcBorders>
              <w:top w:val="nil"/>
              <w:left w:val="nil"/>
              <w:bottom w:val="single" w:sz="8" w:space="0" w:color="auto"/>
              <w:right w:val="single" w:sz="8" w:space="0" w:color="auto"/>
            </w:tcBorders>
            <w:shd w:val="clear" w:color="000000" w:fill="FFFFFF"/>
            <w:vAlign w:val="center"/>
            <w:hideMark/>
          </w:tcPr>
          <w:p w:rsidR="004135C2" w:rsidRPr="009D61F7" w:rsidRDefault="004135C2" w:rsidP="004135C2">
            <w:pPr>
              <w:spacing w:after="0" w:line="240" w:lineRule="auto"/>
              <w:jc w:val="center"/>
              <w:rPr>
                <w:rFonts w:ascii="Calibri" w:eastAsia="Times New Roman" w:hAnsi="Calibri" w:cs="Calibri"/>
                <w:lang w:eastAsia="en-GB"/>
              </w:rPr>
            </w:pPr>
            <w:r w:rsidRPr="009D61F7">
              <w:rPr>
                <w:rFonts w:ascii="Calibri" w:eastAsia="Times New Roman" w:hAnsi="Calibri" w:cs="Calibri"/>
                <w:lang w:eastAsia="en-GB"/>
              </w:rPr>
              <w:t>38</w:t>
            </w: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18.1%</w:t>
            </w: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25.9%</w:t>
            </w: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A87940">
              <w:rPr>
                <w:rFonts w:ascii="Calibri" w:eastAsia="Times New Roman" w:hAnsi="Calibri" w:cs="Calibri"/>
                <w:color w:val="000000"/>
                <w:highlight w:val="lightGray"/>
                <w:lang w:eastAsia="en-GB"/>
              </w:rPr>
              <w:t>38.4%</w:t>
            </w: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b/>
                <w:color w:val="000000"/>
                <w:lang w:eastAsia="en-GB"/>
              </w:rPr>
            </w:pPr>
            <w:r w:rsidRPr="004135C2">
              <w:rPr>
                <w:rFonts w:ascii="Calibri" w:eastAsia="Times New Roman" w:hAnsi="Calibri" w:cs="Calibri"/>
                <w:b/>
                <w:color w:val="000000"/>
                <w:lang w:eastAsia="en-GB"/>
              </w:rPr>
              <w:t>12.5%</w:t>
            </w:r>
          </w:p>
        </w:tc>
      </w:tr>
      <w:tr w:rsidR="004135C2" w:rsidRPr="004135C2" w:rsidTr="004135C2">
        <w:trPr>
          <w:trHeight w:val="294"/>
        </w:trPr>
        <w:tc>
          <w:tcPr>
            <w:tcW w:w="1266" w:type="dxa"/>
            <w:tcBorders>
              <w:top w:val="nil"/>
              <w:left w:val="single" w:sz="8" w:space="0" w:color="auto"/>
              <w:bottom w:val="single" w:sz="8" w:space="0" w:color="auto"/>
              <w:right w:val="single" w:sz="8" w:space="0" w:color="auto"/>
            </w:tcBorders>
            <w:shd w:val="clear" w:color="000000" w:fill="E2EFDA"/>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Male </w:t>
            </w:r>
          </w:p>
        </w:tc>
        <w:tc>
          <w:tcPr>
            <w:tcW w:w="851" w:type="dxa"/>
            <w:tcBorders>
              <w:top w:val="nil"/>
              <w:left w:val="nil"/>
              <w:bottom w:val="single" w:sz="8" w:space="0" w:color="auto"/>
              <w:right w:val="single" w:sz="8" w:space="0" w:color="auto"/>
            </w:tcBorders>
            <w:shd w:val="clear" w:color="000000" w:fill="FFFFFF"/>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60</w:t>
            </w:r>
          </w:p>
        </w:tc>
        <w:tc>
          <w:tcPr>
            <w:tcW w:w="901" w:type="dxa"/>
            <w:tcBorders>
              <w:top w:val="nil"/>
              <w:left w:val="nil"/>
              <w:bottom w:val="single" w:sz="8" w:space="0" w:color="auto"/>
              <w:right w:val="single" w:sz="8" w:space="0" w:color="auto"/>
            </w:tcBorders>
            <w:shd w:val="clear" w:color="000000" w:fill="FFFFFF"/>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65</w:t>
            </w:r>
          </w:p>
        </w:tc>
        <w:tc>
          <w:tcPr>
            <w:tcW w:w="851"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69</w:t>
            </w:r>
          </w:p>
        </w:tc>
        <w:tc>
          <w:tcPr>
            <w:tcW w:w="838"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69</w:t>
            </w:r>
          </w:p>
        </w:tc>
        <w:tc>
          <w:tcPr>
            <w:tcW w:w="838" w:type="dxa"/>
            <w:tcBorders>
              <w:top w:val="nil"/>
              <w:left w:val="nil"/>
              <w:bottom w:val="single" w:sz="8" w:space="0" w:color="auto"/>
              <w:right w:val="single" w:sz="8" w:space="0" w:color="auto"/>
            </w:tcBorders>
            <w:shd w:val="clear" w:color="000000" w:fill="FFFFFF"/>
            <w:vAlign w:val="center"/>
            <w:hideMark/>
          </w:tcPr>
          <w:p w:rsidR="004135C2" w:rsidRPr="009D61F7" w:rsidRDefault="004135C2" w:rsidP="004135C2">
            <w:pPr>
              <w:spacing w:after="0" w:line="240" w:lineRule="auto"/>
              <w:jc w:val="center"/>
              <w:rPr>
                <w:rFonts w:ascii="Calibri" w:eastAsia="Times New Roman" w:hAnsi="Calibri" w:cs="Calibri"/>
                <w:lang w:eastAsia="en-GB"/>
              </w:rPr>
            </w:pPr>
            <w:r w:rsidRPr="009D61F7">
              <w:rPr>
                <w:rFonts w:ascii="Calibri" w:eastAsia="Times New Roman" w:hAnsi="Calibri" w:cs="Calibri"/>
                <w:lang w:eastAsia="en-GB"/>
              </w:rPr>
              <w:t>61</w:t>
            </w:r>
          </w:p>
        </w:tc>
        <w:tc>
          <w:tcPr>
            <w:tcW w:w="976" w:type="dxa"/>
            <w:tcBorders>
              <w:top w:val="nil"/>
              <w:left w:val="nil"/>
              <w:bottom w:val="single" w:sz="8" w:space="0" w:color="auto"/>
              <w:right w:val="single" w:sz="8" w:space="0" w:color="auto"/>
            </w:tcBorders>
            <w:shd w:val="clear" w:color="000000" w:fill="FFFFFF"/>
            <w:vAlign w:val="center"/>
            <w:hideMark/>
          </w:tcPr>
          <w:p w:rsidR="004135C2" w:rsidRPr="009D61F7" w:rsidRDefault="004135C2" w:rsidP="004135C2">
            <w:pPr>
              <w:spacing w:after="0" w:line="240" w:lineRule="auto"/>
              <w:jc w:val="center"/>
              <w:rPr>
                <w:rFonts w:ascii="Calibri" w:eastAsia="Times New Roman" w:hAnsi="Calibri" w:cs="Calibri"/>
                <w:lang w:eastAsia="en-GB"/>
              </w:rPr>
            </w:pPr>
            <w:r w:rsidRPr="009D61F7">
              <w:rPr>
                <w:rFonts w:ascii="Calibri" w:eastAsia="Times New Roman" w:hAnsi="Calibri" w:cs="Calibri"/>
                <w:lang w:eastAsia="en-GB"/>
              </w:rPr>
              <w:t>61</w:t>
            </w: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1.0%</w:t>
            </w: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74.1%</w:t>
            </w: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61.6%</w:t>
            </w: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p>
        </w:tc>
      </w:tr>
      <w:tr w:rsidR="004135C2" w:rsidRPr="004135C2" w:rsidTr="004135C2">
        <w:trPr>
          <w:trHeight w:val="294"/>
        </w:trPr>
        <w:tc>
          <w:tcPr>
            <w:tcW w:w="1266" w:type="dxa"/>
            <w:tcBorders>
              <w:top w:val="nil"/>
              <w:left w:val="single" w:sz="8" w:space="0" w:color="auto"/>
              <w:bottom w:val="single" w:sz="8" w:space="0" w:color="auto"/>
              <w:right w:val="single" w:sz="8" w:space="0" w:color="auto"/>
            </w:tcBorders>
            <w:shd w:val="clear" w:color="000000" w:fill="EAF1DD"/>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total </w:t>
            </w:r>
          </w:p>
        </w:tc>
        <w:tc>
          <w:tcPr>
            <w:tcW w:w="851" w:type="dxa"/>
            <w:tcBorders>
              <w:top w:val="nil"/>
              <w:left w:val="nil"/>
              <w:bottom w:val="single" w:sz="8" w:space="0" w:color="auto"/>
              <w:right w:val="single" w:sz="8" w:space="0" w:color="auto"/>
            </w:tcBorders>
            <w:shd w:val="clear" w:color="000000" w:fill="EAF1DD"/>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81</w:t>
            </w:r>
          </w:p>
        </w:tc>
        <w:tc>
          <w:tcPr>
            <w:tcW w:w="901" w:type="dxa"/>
            <w:tcBorders>
              <w:top w:val="nil"/>
              <w:left w:val="nil"/>
              <w:bottom w:val="single" w:sz="8" w:space="0" w:color="auto"/>
              <w:right w:val="single" w:sz="8" w:space="0" w:color="auto"/>
            </w:tcBorders>
            <w:shd w:val="clear" w:color="000000" w:fill="EAF1DD"/>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94</w:t>
            </w:r>
          </w:p>
        </w:tc>
        <w:tc>
          <w:tcPr>
            <w:tcW w:w="851" w:type="dxa"/>
            <w:tcBorders>
              <w:top w:val="nil"/>
              <w:left w:val="nil"/>
              <w:bottom w:val="single" w:sz="8" w:space="0" w:color="auto"/>
              <w:right w:val="single" w:sz="8" w:space="0" w:color="auto"/>
            </w:tcBorders>
            <w:shd w:val="clear" w:color="000000" w:fill="EAF1DD"/>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104</w:t>
            </w:r>
          </w:p>
        </w:tc>
        <w:tc>
          <w:tcPr>
            <w:tcW w:w="838" w:type="dxa"/>
            <w:tcBorders>
              <w:top w:val="nil"/>
              <w:left w:val="nil"/>
              <w:bottom w:val="single" w:sz="8" w:space="0" w:color="auto"/>
              <w:right w:val="single" w:sz="8" w:space="0" w:color="auto"/>
            </w:tcBorders>
            <w:shd w:val="clear" w:color="000000" w:fill="EAF1DD"/>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112</w:t>
            </w:r>
          </w:p>
        </w:tc>
        <w:tc>
          <w:tcPr>
            <w:tcW w:w="838" w:type="dxa"/>
            <w:tcBorders>
              <w:top w:val="nil"/>
              <w:left w:val="nil"/>
              <w:bottom w:val="single" w:sz="8" w:space="0" w:color="auto"/>
              <w:right w:val="single" w:sz="8" w:space="0" w:color="auto"/>
            </w:tcBorders>
            <w:shd w:val="clear" w:color="000000" w:fill="EAF1DD"/>
            <w:noWrap/>
            <w:vAlign w:val="center"/>
            <w:hideMark/>
          </w:tcPr>
          <w:p w:rsidR="004135C2" w:rsidRPr="009D61F7" w:rsidRDefault="004135C2" w:rsidP="004135C2">
            <w:pPr>
              <w:spacing w:after="0" w:line="240" w:lineRule="auto"/>
              <w:jc w:val="center"/>
              <w:rPr>
                <w:rFonts w:ascii="Calibri" w:eastAsia="Times New Roman" w:hAnsi="Calibri" w:cs="Calibri"/>
                <w:b/>
                <w:bCs/>
                <w:lang w:eastAsia="en-GB"/>
              </w:rPr>
            </w:pPr>
            <w:r w:rsidRPr="009D61F7">
              <w:rPr>
                <w:rFonts w:ascii="Calibri" w:eastAsia="Times New Roman" w:hAnsi="Calibri" w:cs="Calibri"/>
                <w:b/>
                <w:bCs/>
                <w:lang w:eastAsia="en-GB"/>
              </w:rPr>
              <w:t>99</w:t>
            </w:r>
          </w:p>
        </w:tc>
        <w:tc>
          <w:tcPr>
            <w:tcW w:w="976" w:type="dxa"/>
            <w:tcBorders>
              <w:top w:val="nil"/>
              <w:left w:val="nil"/>
              <w:bottom w:val="single" w:sz="8" w:space="0" w:color="auto"/>
              <w:right w:val="single" w:sz="8" w:space="0" w:color="auto"/>
            </w:tcBorders>
            <w:shd w:val="clear" w:color="000000" w:fill="EAF1DD"/>
            <w:noWrap/>
            <w:vAlign w:val="center"/>
            <w:hideMark/>
          </w:tcPr>
          <w:p w:rsidR="004135C2" w:rsidRPr="009D61F7" w:rsidRDefault="004135C2" w:rsidP="004135C2">
            <w:pPr>
              <w:spacing w:after="0" w:line="240" w:lineRule="auto"/>
              <w:jc w:val="center"/>
              <w:rPr>
                <w:rFonts w:ascii="Calibri" w:eastAsia="Times New Roman" w:hAnsi="Calibri" w:cs="Calibri"/>
                <w:b/>
                <w:bCs/>
                <w:lang w:eastAsia="en-GB"/>
              </w:rPr>
            </w:pPr>
            <w:r w:rsidRPr="009D61F7">
              <w:rPr>
                <w:rFonts w:ascii="Calibri" w:eastAsia="Times New Roman" w:hAnsi="Calibri" w:cs="Calibri"/>
                <w:b/>
                <w:bCs/>
                <w:lang w:eastAsia="en-GB"/>
              </w:rPr>
              <w:t>99</w:t>
            </w:r>
          </w:p>
        </w:tc>
        <w:tc>
          <w:tcPr>
            <w:tcW w:w="893" w:type="dxa"/>
            <w:tcBorders>
              <w:top w:val="nil"/>
              <w:left w:val="nil"/>
              <w:bottom w:val="nil"/>
              <w:right w:val="nil"/>
            </w:tcBorders>
            <w:shd w:val="clear" w:color="000000" w:fill="EBF1DE"/>
            <w:noWrap/>
            <w:vAlign w:val="bottom"/>
            <w:hideMark/>
          </w:tcPr>
          <w:p w:rsidR="004135C2" w:rsidRPr="004135C2" w:rsidRDefault="004135C2" w:rsidP="004135C2">
            <w:pPr>
              <w:spacing w:after="0" w:line="240" w:lineRule="auto"/>
              <w:jc w:val="right"/>
              <w:rPr>
                <w:rFonts w:ascii="Calibri" w:eastAsia="Times New Roman" w:hAnsi="Calibri" w:cs="Calibri"/>
                <w:b/>
                <w:bCs/>
                <w:color w:val="000000"/>
                <w:lang w:eastAsia="en-GB"/>
              </w:rPr>
            </w:pPr>
            <w:r w:rsidRPr="004135C2">
              <w:rPr>
                <w:rFonts w:ascii="Calibri" w:eastAsia="Times New Roman" w:hAnsi="Calibri" w:cs="Calibri"/>
                <w:b/>
                <w:bCs/>
                <w:color w:val="000000"/>
                <w:lang w:eastAsia="en-GB"/>
              </w:rPr>
              <w:t>22.2%</w:t>
            </w: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b/>
                <w:bCs/>
                <w:color w:val="000000"/>
                <w:lang w:eastAsia="en-GB"/>
              </w:rPr>
            </w:pP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r>
      <w:tr w:rsidR="004135C2" w:rsidRPr="004135C2" w:rsidTr="004135C2">
        <w:trPr>
          <w:trHeight w:val="234"/>
        </w:trPr>
        <w:tc>
          <w:tcPr>
            <w:tcW w:w="6521" w:type="dxa"/>
            <w:gridSpan w:val="7"/>
            <w:tcBorders>
              <w:top w:val="single" w:sz="8" w:space="0" w:color="auto"/>
              <w:left w:val="single" w:sz="8" w:space="0" w:color="auto"/>
              <w:bottom w:val="single" w:sz="8" w:space="0" w:color="auto"/>
              <w:right w:val="single" w:sz="8" w:space="0" w:color="000000"/>
            </w:tcBorders>
            <w:shd w:val="clear" w:color="000000" w:fill="DDEBF7"/>
            <w:noWrap/>
            <w:vAlign w:val="center"/>
            <w:hideMark/>
          </w:tcPr>
          <w:p w:rsidR="004135C2" w:rsidRPr="009D61F7" w:rsidRDefault="004135C2" w:rsidP="004135C2">
            <w:pPr>
              <w:spacing w:after="0" w:line="240" w:lineRule="auto"/>
              <w:rPr>
                <w:rFonts w:ascii="Calibri" w:eastAsia="Times New Roman" w:hAnsi="Calibri" w:cs="Calibri"/>
                <w:b/>
                <w:bCs/>
                <w:lang w:eastAsia="en-GB"/>
              </w:rPr>
            </w:pPr>
            <w:r w:rsidRPr="009D61F7">
              <w:rPr>
                <w:rFonts w:ascii="Calibri" w:eastAsia="Times New Roman" w:hAnsi="Calibri" w:cs="Calibri"/>
                <w:b/>
                <w:bCs/>
                <w:lang w:eastAsia="en-GB"/>
              </w:rPr>
              <w:t xml:space="preserve">BEDFORD </w:t>
            </w: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Calibri" w:eastAsia="Times New Roman" w:hAnsi="Calibri" w:cs="Calibri"/>
                <w:b/>
                <w:bCs/>
                <w:lang w:eastAsia="en-GB"/>
              </w:rPr>
            </w:pP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r>
      <w:tr w:rsidR="004135C2" w:rsidRPr="009D61F7" w:rsidTr="004135C2">
        <w:trPr>
          <w:trHeight w:val="294"/>
        </w:trPr>
        <w:tc>
          <w:tcPr>
            <w:tcW w:w="1266" w:type="dxa"/>
            <w:tcBorders>
              <w:top w:val="nil"/>
              <w:left w:val="single" w:sz="8" w:space="0" w:color="auto"/>
              <w:bottom w:val="single" w:sz="8" w:space="0" w:color="auto"/>
              <w:right w:val="single" w:sz="8" w:space="0" w:color="auto"/>
            </w:tcBorders>
            <w:shd w:val="clear" w:color="000000" w:fill="DDEBF7"/>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female </w:t>
            </w:r>
          </w:p>
        </w:tc>
        <w:tc>
          <w:tcPr>
            <w:tcW w:w="851" w:type="dxa"/>
            <w:tcBorders>
              <w:top w:val="nil"/>
              <w:left w:val="nil"/>
              <w:bottom w:val="single" w:sz="8" w:space="0" w:color="auto"/>
              <w:right w:val="single" w:sz="8" w:space="0" w:color="auto"/>
            </w:tcBorders>
            <w:shd w:val="clear" w:color="auto" w:fill="auto"/>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13</w:t>
            </w:r>
          </w:p>
        </w:tc>
        <w:tc>
          <w:tcPr>
            <w:tcW w:w="901" w:type="dxa"/>
            <w:tcBorders>
              <w:top w:val="nil"/>
              <w:left w:val="nil"/>
              <w:bottom w:val="single" w:sz="8" w:space="0" w:color="auto"/>
              <w:right w:val="single" w:sz="8" w:space="0" w:color="auto"/>
            </w:tcBorders>
            <w:shd w:val="clear" w:color="auto" w:fill="auto"/>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14</w:t>
            </w:r>
          </w:p>
        </w:tc>
        <w:tc>
          <w:tcPr>
            <w:tcW w:w="851" w:type="dxa"/>
            <w:tcBorders>
              <w:top w:val="nil"/>
              <w:left w:val="nil"/>
              <w:bottom w:val="single" w:sz="8" w:space="0" w:color="auto"/>
              <w:right w:val="single" w:sz="8" w:space="0" w:color="auto"/>
            </w:tcBorders>
            <w:shd w:val="clear" w:color="auto" w:fill="auto"/>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12</w:t>
            </w:r>
          </w:p>
        </w:tc>
        <w:tc>
          <w:tcPr>
            <w:tcW w:w="838" w:type="dxa"/>
            <w:tcBorders>
              <w:top w:val="nil"/>
              <w:left w:val="nil"/>
              <w:bottom w:val="single" w:sz="8" w:space="0" w:color="auto"/>
              <w:right w:val="single" w:sz="8" w:space="0" w:color="auto"/>
            </w:tcBorders>
            <w:shd w:val="clear" w:color="auto" w:fill="auto"/>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13</w:t>
            </w:r>
          </w:p>
        </w:tc>
        <w:tc>
          <w:tcPr>
            <w:tcW w:w="838" w:type="dxa"/>
            <w:tcBorders>
              <w:top w:val="nil"/>
              <w:left w:val="nil"/>
              <w:bottom w:val="single" w:sz="8" w:space="0" w:color="auto"/>
              <w:right w:val="single" w:sz="8" w:space="0" w:color="auto"/>
            </w:tcBorders>
            <w:shd w:val="clear" w:color="000000" w:fill="FFFFFF"/>
            <w:vAlign w:val="center"/>
            <w:hideMark/>
          </w:tcPr>
          <w:p w:rsidR="004135C2" w:rsidRPr="009D61F7" w:rsidRDefault="004135C2" w:rsidP="004135C2">
            <w:pPr>
              <w:spacing w:after="0" w:line="240" w:lineRule="auto"/>
              <w:jc w:val="center"/>
              <w:rPr>
                <w:rFonts w:ascii="Calibri" w:eastAsia="Times New Roman" w:hAnsi="Calibri" w:cs="Calibri"/>
                <w:lang w:eastAsia="en-GB"/>
              </w:rPr>
            </w:pPr>
            <w:r w:rsidRPr="009D61F7">
              <w:rPr>
                <w:rFonts w:ascii="Calibri" w:eastAsia="Times New Roman" w:hAnsi="Calibri" w:cs="Calibri"/>
                <w:lang w:eastAsia="en-GB"/>
              </w:rPr>
              <w:t>19</w:t>
            </w:r>
          </w:p>
        </w:tc>
        <w:tc>
          <w:tcPr>
            <w:tcW w:w="976" w:type="dxa"/>
            <w:tcBorders>
              <w:top w:val="nil"/>
              <w:left w:val="nil"/>
              <w:bottom w:val="single" w:sz="8" w:space="0" w:color="auto"/>
              <w:right w:val="single" w:sz="8" w:space="0" w:color="auto"/>
            </w:tcBorders>
            <w:shd w:val="clear" w:color="000000" w:fill="FFFFFF"/>
            <w:vAlign w:val="center"/>
            <w:hideMark/>
          </w:tcPr>
          <w:p w:rsidR="004135C2" w:rsidRPr="009D61F7" w:rsidRDefault="004135C2" w:rsidP="004135C2">
            <w:pPr>
              <w:spacing w:after="0" w:line="240" w:lineRule="auto"/>
              <w:jc w:val="center"/>
              <w:rPr>
                <w:rFonts w:ascii="Calibri" w:eastAsia="Times New Roman" w:hAnsi="Calibri" w:cs="Calibri"/>
                <w:lang w:eastAsia="en-GB"/>
              </w:rPr>
            </w:pPr>
            <w:r w:rsidRPr="009D61F7">
              <w:rPr>
                <w:rFonts w:ascii="Calibri" w:eastAsia="Times New Roman" w:hAnsi="Calibri" w:cs="Calibri"/>
                <w:lang w:eastAsia="en-GB"/>
              </w:rPr>
              <w:t>9</w:t>
            </w: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-30.8%</w:t>
            </w:r>
          </w:p>
        </w:tc>
        <w:tc>
          <w:tcPr>
            <w:tcW w:w="798" w:type="dxa"/>
            <w:tcBorders>
              <w:top w:val="nil"/>
              <w:left w:val="nil"/>
              <w:bottom w:val="nil"/>
              <w:right w:val="nil"/>
            </w:tcBorders>
            <w:shd w:val="clear" w:color="auto" w:fill="auto"/>
            <w:noWrap/>
            <w:vAlign w:val="bottom"/>
            <w:hideMark/>
          </w:tcPr>
          <w:p w:rsidR="004135C2" w:rsidRPr="009D61F7" w:rsidRDefault="004135C2" w:rsidP="004135C2">
            <w:pPr>
              <w:spacing w:after="0" w:line="240" w:lineRule="auto"/>
              <w:jc w:val="right"/>
              <w:rPr>
                <w:rFonts w:ascii="Calibri" w:eastAsia="Times New Roman" w:hAnsi="Calibri" w:cs="Calibri"/>
                <w:lang w:eastAsia="en-GB"/>
              </w:rPr>
            </w:pPr>
            <w:r w:rsidRPr="009D61F7">
              <w:rPr>
                <w:rFonts w:ascii="Calibri" w:eastAsia="Times New Roman" w:hAnsi="Calibri" w:cs="Calibri"/>
                <w:lang w:eastAsia="en-GB"/>
              </w:rPr>
              <w:t>24.1%</w:t>
            </w:r>
          </w:p>
        </w:tc>
        <w:tc>
          <w:tcPr>
            <w:tcW w:w="764" w:type="dxa"/>
            <w:tcBorders>
              <w:top w:val="nil"/>
              <w:left w:val="nil"/>
              <w:bottom w:val="nil"/>
              <w:right w:val="nil"/>
            </w:tcBorders>
            <w:shd w:val="clear" w:color="auto" w:fill="auto"/>
            <w:noWrap/>
            <w:vAlign w:val="bottom"/>
            <w:hideMark/>
          </w:tcPr>
          <w:p w:rsidR="004135C2" w:rsidRPr="009D61F7" w:rsidRDefault="004135C2" w:rsidP="004135C2">
            <w:pPr>
              <w:spacing w:after="0" w:line="240" w:lineRule="auto"/>
              <w:jc w:val="right"/>
              <w:rPr>
                <w:rFonts w:ascii="Calibri" w:eastAsia="Times New Roman" w:hAnsi="Calibri" w:cs="Calibri"/>
                <w:lang w:eastAsia="en-GB"/>
              </w:rPr>
            </w:pPr>
            <w:r w:rsidRPr="009D61F7">
              <w:rPr>
                <w:rFonts w:ascii="Calibri" w:eastAsia="Times New Roman" w:hAnsi="Calibri" w:cs="Calibri"/>
                <w:lang w:eastAsia="en-GB"/>
              </w:rPr>
              <w:t>20.5%</w:t>
            </w:r>
          </w:p>
        </w:tc>
        <w:tc>
          <w:tcPr>
            <w:tcW w:w="653" w:type="dxa"/>
            <w:tcBorders>
              <w:top w:val="nil"/>
              <w:left w:val="nil"/>
              <w:bottom w:val="nil"/>
              <w:right w:val="nil"/>
            </w:tcBorders>
            <w:shd w:val="clear" w:color="auto" w:fill="auto"/>
            <w:noWrap/>
            <w:vAlign w:val="bottom"/>
            <w:hideMark/>
          </w:tcPr>
          <w:p w:rsidR="004135C2" w:rsidRPr="009D61F7" w:rsidRDefault="004135C2" w:rsidP="004135C2">
            <w:pPr>
              <w:spacing w:after="0" w:line="240" w:lineRule="auto"/>
              <w:jc w:val="right"/>
              <w:rPr>
                <w:rFonts w:ascii="Calibri" w:eastAsia="Times New Roman" w:hAnsi="Calibri" w:cs="Calibri"/>
                <w:lang w:eastAsia="en-GB"/>
              </w:rPr>
            </w:pPr>
            <w:r w:rsidRPr="009D61F7">
              <w:rPr>
                <w:rFonts w:ascii="Calibri" w:eastAsia="Times New Roman" w:hAnsi="Calibri" w:cs="Calibri"/>
                <w:lang w:eastAsia="en-GB"/>
              </w:rPr>
              <w:t>-3.6%</w:t>
            </w:r>
          </w:p>
        </w:tc>
      </w:tr>
      <w:tr w:rsidR="004135C2" w:rsidRPr="009D61F7" w:rsidTr="004135C2">
        <w:trPr>
          <w:trHeight w:val="294"/>
        </w:trPr>
        <w:tc>
          <w:tcPr>
            <w:tcW w:w="1266" w:type="dxa"/>
            <w:tcBorders>
              <w:top w:val="nil"/>
              <w:left w:val="single" w:sz="8" w:space="0" w:color="auto"/>
              <w:bottom w:val="single" w:sz="8" w:space="0" w:color="auto"/>
              <w:right w:val="single" w:sz="8" w:space="0" w:color="auto"/>
            </w:tcBorders>
            <w:shd w:val="clear" w:color="000000" w:fill="DDEBF7"/>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Male </w:t>
            </w:r>
          </w:p>
        </w:tc>
        <w:tc>
          <w:tcPr>
            <w:tcW w:w="851" w:type="dxa"/>
            <w:tcBorders>
              <w:top w:val="nil"/>
              <w:left w:val="nil"/>
              <w:bottom w:val="single" w:sz="8" w:space="0" w:color="auto"/>
              <w:right w:val="single" w:sz="8" w:space="0" w:color="auto"/>
            </w:tcBorders>
            <w:shd w:val="clear" w:color="auto" w:fill="auto"/>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41</w:t>
            </w:r>
          </w:p>
        </w:tc>
        <w:tc>
          <w:tcPr>
            <w:tcW w:w="901" w:type="dxa"/>
            <w:tcBorders>
              <w:top w:val="nil"/>
              <w:left w:val="nil"/>
              <w:bottom w:val="single" w:sz="8" w:space="0" w:color="auto"/>
              <w:right w:val="single" w:sz="8" w:space="0" w:color="auto"/>
            </w:tcBorders>
            <w:shd w:val="clear" w:color="auto" w:fill="auto"/>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41</w:t>
            </w:r>
          </w:p>
        </w:tc>
        <w:tc>
          <w:tcPr>
            <w:tcW w:w="851" w:type="dxa"/>
            <w:tcBorders>
              <w:top w:val="nil"/>
              <w:left w:val="nil"/>
              <w:bottom w:val="single" w:sz="8" w:space="0" w:color="auto"/>
              <w:right w:val="single" w:sz="8" w:space="0" w:color="auto"/>
            </w:tcBorders>
            <w:shd w:val="clear" w:color="auto" w:fill="auto"/>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39</w:t>
            </w:r>
          </w:p>
        </w:tc>
        <w:tc>
          <w:tcPr>
            <w:tcW w:w="838" w:type="dxa"/>
            <w:tcBorders>
              <w:top w:val="nil"/>
              <w:left w:val="nil"/>
              <w:bottom w:val="single" w:sz="8" w:space="0" w:color="auto"/>
              <w:right w:val="single" w:sz="8" w:space="0" w:color="auto"/>
            </w:tcBorders>
            <w:shd w:val="clear" w:color="auto" w:fill="auto"/>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36</w:t>
            </w:r>
          </w:p>
        </w:tc>
        <w:tc>
          <w:tcPr>
            <w:tcW w:w="838" w:type="dxa"/>
            <w:tcBorders>
              <w:top w:val="nil"/>
              <w:left w:val="nil"/>
              <w:bottom w:val="single" w:sz="8" w:space="0" w:color="auto"/>
              <w:right w:val="single" w:sz="8" w:space="0" w:color="auto"/>
            </w:tcBorders>
            <w:shd w:val="clear" w:color="000000" w:fill="FFFFFF"/>
            <w:vAlign w:val="center"/>
            <w:hideMark/>
          </w:tcPr>
          <w:p w:rsidR="004135C2" w:rsidRPr="009D61F7" w:rsidRDefault="004135C2" w:rsidP="004135C2">
            <w:pPr>
              <w:spacing w:after="0" w:line="240" w:lineRule="auto"/>
              <w:jc w:val="center"/>
              <w:rPr>
                <w:rFonts w:ascii="Calibri" w:eastAsia="Times New Roman" w:hAnsi="Calibri" w:cs="Calibri"/>
                <w:lang w:eastAsia="en-GB"/>
              </w:rPr>
            </w:pPr>
            <w:r w:rsidRPr="009D61F7">
              <w:rPr>
                <w:rFonts w:ascii="Calibri" w:eastAsia="Times New Roman" w:hAnsi="Calibri" w:cs="Calibri"/>
                <w:lang w:eastAsia="en-GB"/>
              </w:rPr>
              <w:t>25</w:t>
            </w:r>
          </w:p>
        </w:tc>
        <w:tc>
          <w:tcPr>
            <w:tcW w:w="976" w:type="dxa"/>
            <w:tcBorders>
              <w:top w:val="nil"/>
              <w:left w:val="nil"/>
              <w:bottom w:val="single" w:sz="8" w:space="0" w:color="auto"/>
              <w:right w:val="single" w:sz="8" w:space="0" w:color="auto"/>
            </w:tcBorders>
            <w:shd w:val="clear" w:color="000000" w:fill="FFFFFF"/>
            <w:vAlign w:val="center"/>
            <w:hideMark/>
          </w:tcPr>
          <w:p w:rsidR="004135C2" w:rsidRPr="009D61F7" w:rsidRDefault="004135C2" w:rsidP="004135C2">
            <w:pPr>
              <w:spacing w:after="0" w:line="240" w:lineRule="auto"/>
              <w:jc w:val="center"/>
              <w:rPr>
                <w:rFonts w:ascii="Calibri" w:eastAsia="Times New Roman" w:hAnsi="Calibri" w:cs="Calibri"/>
                <w:lang w:eastAsia="en-GB"/>
              </w:rPr>
            </w:pPr>
            <w:r w:rsidRPr="009D61F7">
              <w:rPr>
                <w:rFonts w:ascii="Calibri" w:eastAsia="Times New Roman" w:hAnsi="Calibri" w:cs="Calibri"/>
                <w:lang w:eastAsia="en-GB"/>
              </w:rPr>
              <w:t>35</w:t>
            </w: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-14.7%</w:t>
            </w:r>
          </w:p>
        </w:tc>
        <w:tc>
          <w:tcPr>
            <w:tcW w:w="798" w:type="dxa"/>
            <w:tcBorders>
              <w:top w:val="nil"/>
              <w:left w:val="nil"/>
              <w:bottom w:val="nil"/>
              <w:right w:val="nil"/>
            </w:tcBorders>
            <w:shd w:val="clear" w:color="auto" w:fill="auto"/>
            <w:noWrap/>
            <w:vAlign w:val="bottom"/>
            <w:hideMark/>
          </w:tcPr>
          <w:p w:rsidR="004135C2" w:rsidRPr="009D61F7" w:rsidRDefault="004135C2" w:rsidP="004135C2">
            <w:pPr>
              <w:spacing w:after="0" w:line="240" w:lineRule="auto"/>
              <w:jc w:val="right"/>
              <w:rPr>
                <w:rFonts w:ascii="Calibri" w:eastAsia="Times New Roman" w:hAnsi="Calibri" w:cs="Calibri"/>
                <w:lang w:eastAsia="en-GB"/>
              </w:rPr>
            </w:pPr>
            <w:r w:rsidRPr="009D61F7">
              <w:rPr>
                <w:rFonts w:ascii="Calibri" w:eastAsia="Times New Roman" w:hAnsi="Calibri" w:cs="Calibri"/>
                <w:lang w:eastAsia="en-GB"/>
              </w:rPr>
              <w:t>75.9%</w:t>
            </w:r>
          </w:p>
        </w:tc>
        <w:tc>
          <w:tcPr>
            <w:tcW w:w="764" w:type="dxa"/>
            <w:tcBorders>
              <w:top w:val="nil"/>
              <w:left w:val="nil"/>
              <w:bottom w:val="nil"/>
              <w:right w:val="nil"/>
            </w:tcBorders>
            <w:shd w:val="clear" w:color="auto" w:fill="auto"/>
            <w:noWrap/>
            <w:vAlign w:val="bottom"/>
            <w:hideMark/>
          </w:tcPr>
          <w:p w:rsidR="004135C2" w:rsidRPr="009D61F7" w:rsidRDefault="004135C2" w:rsidP="004135C2">
            <w:pPr>
              <w:spacing w:after="0" w:line="240" w:lineRule="auto"/>
              <w:jc w:val="right"/>
              <w:rPr>
                <w:rFonts w:ascii="Calibri" w:eastAsia="Times New Roman" w:hAnsi="Calibri" w:cs="Calibri"/>
                <w:lang w:eastAsia="en-GB"/>
              </w:rPr>
            </w:pPr>
            <w:r w:rsidRPr="009D61F7">
              <w:rPr>
                <w:rFonts w:ascii="Calibri" w:eastAsia="Times New Roman" w:hAnsi="Calibri" w:cs="Calibri"/>
                <w:lang w:eastAsia="en-GB"/>
              </w:rPr>
              <w:t>79.5%</w:t>
            </w:r>
          </w:p>
        </w:tc>
        <w:tc>
          <w:tcPr>
            <w:tcW w:w="653" w:type="dxa"/>
            <w:tcBorders>
              <w:top w:val="nil"/>
              <w:left w:val="nil"/>
              <w:bottom w:val="nil"/>
              <w:right w:val="nil"/>
            </w:tcBorders>
            <w:shd w:val="clear" w:color="auto" w:fill="auto"/>
            <w:noWrap/>
            <w:vAlign w:val="bottom"/>
            <w:hideMark/>
          </w:tcPr>
          <w:p w:rsidR="004135C2" w:rsidRPr="009D61F7" w:rsidRDefault="004135C2" w:rsidP="004135C2">
            <w:pPr>
              <w:spacing w:after="0" w:line="240" w:lineRule="auto"/>
              <w:jc w:val="right"/>
              <w:rPr>
                <w:rFonts w:ascii="Calibri" w:eastAsia="Times New Roman" w:hAnsi="Calibri" w:cs="Calibri"/>
                <w:lang w:eastAsia="en-GB"/>
              </w:rPr>
            </w:pPr>
          </w:p>
        </w:tc>
      </w:tr>
      <w:tr w:rsidR="004135C2" w:rsidRPr="004135C2" w:rsidTr="004135C2">
        <w:trPr>
          <w:trHeight w:val="307"/>
        </w:trPr>
        <w:tc>
          <w:tcPr>
            <w:tcW w:w="1266" w:type="dxa"/>
            <w:tcBorders>
              <w:top w:val="nil"/>
              <w:left w:val="single" w:sz="8" w:space="0" w:color="auto"/>
              <w:bottom w:val="single" w:sz="8" w:space="0" w:color="auto"/>
              <w:right w:val="single" w:sz="8" w:space="0" w:color="auto"/>
            </w:tcBorders>
            <w:shd w:val="clear" w:color="000000" w:fill="DDEBF7"/>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Total </w:t>
            </w:r>
          </w:p>
        </w:tc>
        <w:tc>
          <w:tcPr>
            <w:tcW w:w="851" w:type="dxa"/>
            <w:tcBorders>
              <w:top w:val="nil"/>
              <w:left w:val="nil"/>
              <w:bottom w:val="single" w:sz="8" w:space="0" w:color="auto"/>
              <w:right w:val="single" w:sz="8" w:space="0" w:color="auto"/>
            </w:tcBorders>
            <w:shd w:val="clear" w:color="000000" w:fill="DBE5F1"/>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54</w:t>
            </w:r>
          </w:p>
        </w:tc>
        <w:tc>
          <w:tcPr>
            <w:tcW w:w="901" w:type="dxa"/>
            <w:tcBorders>
              <w:top w:val="nil"/>
              <w:left w:val="nil"/>
              <w:bottom w:val="single" w:sz="8" w:space="0" w:color="auto"/>
              <w:right w:val="single" w:sz="8" w:space="0" w:color="auto"/>
            </w:tcBorders>
            <w:shd w:val="clear" w:color="000000" w:fill="DBE5F1"/>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55</w:t>
            </w:r>
          </w:p>
        </w:tc>
        <w:tc>
          <w:tcPr>
            <w:tcW w:w="851" w:type="dxa"/>
            <w:tcBorders>
              <w:top w:val="nil"/>
              <w:left w:val="nil"/>
              <w:bottom w:val="single" w:sz="8" w:space="0" w:color="auto"/>
              <w:right w:val="single" w:sz="8" w:space="0" w:color="auto"/>
            </w:tcBorders>
            <w:shd w:val="clear" w:color="000000" w:fill="DBE5F1"/>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51</w:t>
            </w:r>
          </w:p>
        </w:tc>
        <w:tc>
          <w:tcPr>
            <w:tcW w:w="838" w:type="dxa"/>
            <w:tcBorders>
              <w:top w:val="nil"/>
              <w:left w:val="nil"/>
              <w:bottom w:val="single" w:sz="8" w:space="0" w:color="auto"/>
              <w:right w:val="single" w:sz="8" w:space="0" w:color="auto"/>
            </w:tcBorders>
            <w:shd w:val="clear" w:color="000000" w:fill="DBE5F1"/>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49</w:t>
            </w:r>
          </w:p>
        </w:tc>
        <w:tc>
          <w:tcPr>
            <w:tcW w:w="838" w:type="dxa"/>
            <w:tcBorders>
              <w:top w:val="nil"/>
              <w:left w:val="nil"/>
              <w:bottom w:val="single" w:sz="8" w:space="0" w:color="auto"/>
              <w:right w:val="single" w:sz="8" w:space="0" w:color="auto"/>
            </w:tcBorders>
            <w:shd w:val="clear" w:color="000000" w:fill="DBE5F1"/>
            <w:noWrap/>
            <w:vAlign w:val="center"/>
            <w:hideMark/>
          </w:tcPr>
          <w:p w:rsidR="004135C2" w:rsidRPr="009D61F7" w:rsidRDefault="004135C2" w:rsidP="004135C2">
            <w:pPr>
              <w:spacing w:after="0" w:line="240" w:lineRule="auto"/>
              <w:jc w:val="center"/>
              <w:rPr>
                <w:rFonts w:ascii="Calibri" w:eastAsia="Times New Roman" w:hAnsi="Calibri" w:cs="Calibri"/>
                <w:b/>
                <w:bCs/>
                <w:lang w:eastAsia="en-GB"/>
              </w:rPr>
            </w:pPr>
            <w:r w:rsidRPr="009D61F7">
              <w:rPr>
                <w:rFonts w:ascii="Calibri" w:eastAsia="Times New Roman" w:hAnsi="Calibri" w:cs="Calibri"/>
                <w:b/>
                <w:bCs/>
                <w:lang w:eastAsia="en-GB"/>
              </w:rPr>
              <w:t>44</w:t>
            </w:r>
          </w:p>
        </w:tc>
        <w:tc>
          <w:tcPr>
            <w:tcW w:w="976" w:type="dxa"/>
            <w:tcBorders>
              <w:top w:val="nil"/>
              <w:left w:val="nil"/>
              <w:bottom w:val="single" w:sz="8" w:space="0" w:color="auto"/>
              <w:right w:val="single" w:sz="8" w:space="0" w:color="auto"/>
            </w:tcBorders>
            <w:shd w:val="clear" w:color="000000" w:fill="DBE5F1"/>
            <w:noWrap/>
            <w:vAlign w:val="center"/>
            <w:hideMark/>
          </w:tcPr>
          <w:p w:rsidR="004135C2" w:rsidRPr="009D61F7" w:rsidRDefault="004135C2" w:rsidP="004135C2">
            <w:pPr>
              <w:spacing w:after="0" w:line="240" w:lineRule="auto"/>
              <w:jc w:val="center"/>
              <w:rPr>
                <w:rFonts w:ascii="Calibri" w:eastAsia="Times New Roman" w:hAnsi="Calibri" w:cs="Calibri"/>
                <w:b/>
                <w:bCs/>
                <w:lang w:eastAsia="en-GB"/>
              </w:rPr>
            </w:pPr>
            <w:r w:rsidRPr="009D61F7">
              <w:rPr>
                <w:rFonts w:ascii="Calibri" w:eastAsia="Times New Roman" w:hAnsi="Calibri" w:cs="Calibri"/>
                <w:b/>
                <w:bCs/>
                <w:lang w:eastAsia="en-GB"/>
              </w:rPr>
              <w:t>44</w:t>
            </w:r>
          </w:p>
        </w:tc>
        <w:tc>
          <w:tcPr>
            <w:tcW w:w="893" w:type="dxa"/>
            <w:tcBorders>
              <w:top w:val="nil"/>
              <w:left w:val="nil"/>
              <w:bottom w:val="nil"/>
              <w:right w:val="nil"/>
            </w:tcBorders>
            <w:shd w:val="clear" w:color="000000" w:fill="DCE6F1"/>
            <w:noWrap/>
            <w:vAlign w:val="bottom"/>
            <w:hideMark/>
          </w:tcPr>
          <w:p w:rsidR="004135C2" w:rsidRPr="004135C2" w:rsidRDefault="004135C2" w:rsidP="004135C2">
            <w:pPr>
              <w:spacing w:after="0" w:line="240" w:lineRule="auto"/>
              <w:jc w:val="right"/>
              <w:rPr>
                <w:rFonts w:ascii="Calibri" w:eastAsia="Times New Roman" w:hAnsi="Calibri" w:cs="Calibri"/>
                <w:b/>
                <w:bCs/>
                <w:color w:val="000000"/>
                <w:lang w:eastAsia="en-GB"/>
              </w:rPr>
            </w:pPr>
            <w:r w:rsidRPr="004135C2">
              <w:rPr>
                <w:rFonts w:ascii="Calibri" w:eastAsia="Times New Roman" w:hAnsi="Calibri" w:cs="Calibri"/>
                <w:b/>
                <w:bCs/>
                <w:color w:val="000000"/>
                <w:lang w:eastAsia="en-GB"/>
              </w:rPr>
              <w:t>-18.5%</w:t>
            </w: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b/>
                <w:bCs/>
                <w:color w:val="000000"/>
                <w:lang w:eastAsia="en-GB"/>
              </w:rPr>
            </w:pP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r>
      <w:tr w:rsidR="004135C2" w:rsidRPr="004135C2" w:rsidTr="004135C2">
        <w:trPr>
          <w:trHeight w:val="294"/>
        </w:trPr>
        <w:tc>
          <w:tcPr>
            <w:tcW w:w="6521" w:type="dxa"/>
            <w:gridSpan w:val="7"/>
            <w:tcBorders>
              <w:top w:val="single" w:sz="8" w:space="0" w:color="auto"/>
              <w:left w:val="single" w:sz="8" w:space="0" w:color="auto"/>
              <w:bottom w:val="single" w:sz="8" w:space="0" w:color="auto"/>
              <w:right w:val="single" w:sz="8" w:space="0" w:color="000000"/>
            </w:tcBorders>
            <w:shd w:val="clear" w:color="000000" w:fill="8DB3E2"/>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BHFT TRUST TOTALS</w:t>
            </w: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Calibri" w:eastAsia="Times New Roman" w:hAnsi="Calibri" w:cs="Calibri"/>
                <w:b/>
                <w:bCs/>
                <w:lang w:eastAsia="en-GB"/>
              </w:rPr>
            </w:pP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r>
      <w:tr w:rsidR="004135C2" w:rsidRPr="004135C2" w:rsidTr="004135C2">
        <w:trPr>
          <w:trHeight w:val="307"/>
        </w:trPr>
        <w:tc>
          <w:tcPr>
            <w:tcW w:w="1266" w:type="dxa"/>
            <w:tcBorders>
              <w:top w:val="nil"/>
              <w:left w:val="single" w:sz="8" w:space="0" w:color="auto"/>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Fem</w:t>
            </w:r>
            <w:r>
              <w:rPr>
                <w:rFonts w:ascii="Calibri" w:eastAsia="Times New Roman" w:hAnsi="Calibri" w:cs="Calibri"/>
                <w:b/>
                <w:bCs/>
                <w:lang w:eastAsia="en-GB"/>
              </w:rPr>
              <w:t>.</w:t>
            </w:r>
            <w:r w:rsidRPr="004135C2">
              <w:rPr>
                <w:rFonts w:ascii="Calibri" w:eastAsia="Times New Roman" w:hAnsi="Calibri" w:cs="Calibri"/>
                <w:b/>
                <w:bCs/>
                <w:lang w:eastAsia="en-GB"/>
              </w:rPr>
              <w:t xml:space="preserve"> BHFT</w:t>
            </w:r>
          </w:p>
        </w:tc>
        <w:tc>
          <w:tcPr>
            <w:tcW w:w="851"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34</w:t>
            </w:r>
          </w:p>
        </w:tc>
        <w:tc>
          <w:tcPr>
            <w:tcW w:w="901"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43</w:t>
            </w:r>
          </w:p>
        </w:tc>
        <w:tc>
          <w:tcPr>
            <w:tcW w:w="851"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47</w:t>
            </w:r>
          </w:p>
        </w:tc>
        <w:tc>
          <w:tcPr>
            <w:tcW w:w="838"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56</w:t>
            </w:r>
          </w:p>
        </w:tc>
        <w:tc>
          <w:tcPr>
            <w:tcW w:w="838"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47</w:t>
            </w:r>
          </w:p>
        </w:tc>
        <w:tc>
          <w:tcPr>
            <w:tcW w:w="976"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47</w:t>
            </w: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38.2%</w:t>
            </w: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25.2%</w:t>
            </w: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A87940">
              <w:rPr>
                <w:rFonts w:ascii="Calibri" w:eastAsia="Times New Roman" w:hAnsi="Calibri" w:cs="Calibri"/>
                <w:color w:val="000000"/>
                <w:highlight w:val="lightGray"/>
                <w:lang w:eastAsia="en-GB"/>
              </w:rPr>
              <w:t>32.9%</w:t>
            </w: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b/>
                <w:color w:val="000000"/>
                <w:lang w:eastAsia="en-GB"/>
              </w:rPr>
            </w:pPr>
            <w:r w:rsidRPr="004135C2">
              <w:rPr>
                <w:rFonts w:ascii="Calibri" w:eastAsia="Times New Roman" w:hAnsi="Calibri" w:cs="Calibri"/>
                <w:b/>
                <w:color w:val="000000"/>
                <w:lang w:eastAsia="en-GB"/>
              </w:rPr>
              <w:t>7.7%</w:t>
            </w:r>
          </w:p>
        </w:tc>
      </w:tr>
      <w:tr w:rsidR="004135C2" w:rsidRPr="004135C2" w:rsidTr="004135C2">
        <w:trPr>
          <w:trHeight w:val="294"/>
        </w:trPr>
        <w:tc>
          <w:tcPr>
            <w:tcW w:w="1266" w:type="dxa"/>
            <w:tcBorders>
              <w:top w:val="nil"/>
              <w:left w:val="single" w:sz="8" w:space="0" w:color="auto"/>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Male BHFT </w:t>
            </w:r>
          </w:p>
        </w:tc>
        <w:tc>
          <w:tcPr>
            <w:tcW w:w="851"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101</w:t>
            </w:r>
          </w:p>
        </w:tc>
        <w:tc>
          <w:tcPr>
            <w:tcW w:w="901"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106</w:t>
            </w:r>
          </w:p>
        </w:tc>
        <w:tc>
          <w:tcPr>
            <w:tcW w:w="851"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108</w:t>
            </w:r>
          </w:p>
        </w:tc>
        <w:tc>
          <w:tcPr>
            <w:tcW w:w="838"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105</w:t>
            </w:r>
          </w:p>
        </w:tc>
        <w:tc>
          <w:tcPr>
            <w:tcW w:w="838"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96</w:t>
            </w:r>
          </w:p>
        </w:tc>
        <w:tc>
          <w:tcPr>
            <w:tcW w:w="976"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96</w:t>
            </w: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-10.9%</w:t>
            </w: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74.8%</w:t>
            </w: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67.1%</w:t>
            </w: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p>
        </w:tc>
      </w:tr>
      <w:tr w:rsidR="004135C2" w:rsidRPr="004135C2" w:rsidTr="004135C2">
        <w:trPr>
          <w:trHeight w:val="294"/>
        </w:trPr>
        <w:tc>
          <w:tcPr>
            <w:tcW w:w="1266" w:type="dxa"/>
            <w:tcBorders>
              <w:top w:val="nil"/>
              <w:left w:val="single" w:sz="8" w:space="0" w:color="auto"/>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TOTAL</w:t>
            </w:r>
          </w:p>
        </w:tc>
        <w:tc>
          <w:tcPr>
            <w:tcW w:w="851"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135</w:t>
            </w:r>
          </w:p>
        </w:tc>
        <w:tc>
          <w:tcPr>
            <w:tcW w:w="901"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149</w:t>
            </w:r>
          </w:p>
        </w:tc>
        <w:tc>
          <w:tcPr>
            <w:tcW w:w="851"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155</w:t>
            </w:r>
          </w:p>
        </w:tc>
        <w:tc>
          <w:tcPr>
            <w:tcW w:w="838"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161</w:t>
            </w:r>
          </w:p>
        </w:tc>
        <w:tc>
          <w:tcPr>
            <w:tcW w:w="838"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143</w:t>
            </w:r>
          </w:p>
        </w:tc>
        <w:tc>
          <w:tcPr>
            <w:tcW w:w="976"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143</w:t>
            </w:r>
          </w:p>
        </w:tc>
        <w:tc>
          <w:tcPr>
            <w:tcW w:w="893" w:type="dxa"/>
            <w:tcBorders>
              <w:top w:val="nil"/>
              <w:left w:val="nil"/>
              <w:bottom w:val="nil"/>
              <w:right w:val="nil"/>
            </w:tcBorders>
            <w:shd w:val="clear" w:color="000000" w:fill="8DB4E2"/>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1.5%</w:t>
            </w: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r>
      <w:tr w:rsidR="004135C2" w:rsidRPr="004135C2" w:rsidTr="004135C2">
        <w:trPr>
          <w:trHeight w:val="127"/>
        </w:trPr>
        <w:tc>
          <w:tcPr>
            <w:tcW w:w="1266"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901"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83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83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r>
      <w:tr w:rsidR="004135C2" w:rsidRPr="004135C2" w:rsidTr="004135C2">
        <w:trPr>
          <w:trHeight w:val="294"/>
        </w:trPr>
        <w:tc>
          <w:tcPr>
            <w:tcW w:w="6521" w:type="dxa"/>
            <w:gridSpan w:val="7"/>
            <w:tcBorders>
              <w:top w:val="single" w:sz="8" w:space="0" w:color="auto"/>
              <w:left w:val="single" w:sz="8" w:space="0" w:color="auto"/>
              <w:bottom w:val="single" w:sz="8" w:space="0" w:color="auto"/>
              <w:right w:val="single" w:sz="8" w:space="0" w:color="000000"/>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 xml:space="preserve">Medical consultants </w:t>
            </w: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center"/>
              <w:rPr>
                <w:rFonts w:ascii="Calibri" w:eastAsia="Times New Roman" w:hAnsi="Calibri" w:cs="Calibri"/>
                <w:b/>
                <w:bCs/>
                <w:lang w:eastAsia="en-GB"/>
              </w:rPr>
            </w:pP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r>
      <w:tr w:rsidR="004135C2" w:rsidRPr="004135C2" w:rsidTr="004135C2">
        <w:trPr>
          <w:trHeight w:val="427"/>
        </w:trPr>
        <w:tc>
          <w:tcPr>
            <w:tcW w:w="1266" w:type="dxa"/>
            <w:tcBorders>
              <w:top w:val="nil"/>
              <w:left w:val="single" w:sz="8" w:space="0" w:color="auto"/>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Year end </w:t>
            </w:r>
          </w:p>
        </w:tc>
        <w:tc>
          <w:tcPr>
            <w:tcW w:w="851"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2017</w:t>
            </w:r>
          </w:p>
        </w:tc>
        <w:tc>
          <w:tcPr>
            <w:tcW w:w="901"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2018</w:t>
            </w:r>
          </w:p>
        </w:tc>
        <w:tc>
          <w:tcPr>
            <w:tcW w:w="851"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2019</w:t>
            </w:r>
          </w:p>
        </w:tc>
        <w:tc>
          <w:tcPr>
            <w:tcW w:w="838"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2020</w:t>
            </w:r>
          </w:p>
        </w:tc>
        <w:tc>
          <w:tcPr>
            <w:tcW w:w="838"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2021</w:t>
            </w:r>
          </w:p>
        </w:tc>
        <w:tc>
          <w:tcPr>
            <w:tcW w:w="976"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2022</w:t>
            </w: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center"/>
              <w:rPr>
                <w:rFonts w:ascii="Calibri" w:eastAsia="Times New Roman" w:hAnsi="Calibri" w:cs="Calibri"/>
                <w:b/>
                <w:bCs/>
                <w:lang w:eastAsia="en-GB"/>
              </w:rPr>
            </w:pP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r>
      <w:tr w:rsidR="004135C2" w:rsidRPr="004135C2" w:rsidTr="004135C2">
        <w:trPr>
          <w:trHeight w:val="234"/>
        </w:trPr>
        <w:tc>
          <w:tcPr>
            <w:tcW w:w="6521" w:type="dxa"/>
            <w:gridSpan w:val="7"/>
            <w:tcBorders>
              <w:top w:val="single" w:sz="8" w:space="0" w:color="auto"/>
              <w:left w:val="single" w:sz="8" w:space="0" w:color="auto"/>
              <w:bottom w:val="single" w:sz="8" w:space="0" w:color="auto"/>
              <w:right w:val="single" w:sz="8" w:space="0" w:color="000000"/>
            </w:tcBorders>
            <w:shd w:val="clear" w:color="000000" w:fill="E2EFDA"/>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LUTON</w:t>
            </w: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Calibri" w:eastAsia="Times New Roman" w:hAnsi="Calibri" w:cs="Calibri"/>
                <w:b/>
                <w:bCs/>
                <w:lang w:eastAsia="en-GB"/>
              </w:rPr>
            </w:pP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r>
      <w:tr w:rsidR="004135C2" w:rsidRPr="004135C2" w:rsidTr="004135C2">
        <w:trPr>
          <w:trHeight w:val="294"/>
        </w:trPr>
        <w:tc>
          <w:tcPr>
            <w:tcW w:w="1266" w:type="dxa"/>
            <w:tcBorders>
              <w:top w:val="nil"/>
              <w:left w:val="single" w:sz="8" w:space="0" w:color="auto"/>
              <w:bottom w:val="single" w:sz="8" w:space="0" w:color="auto"/>
              <w:right w:val="single" w:sz="8" w:space="0" w:color="auto"/>
            </w:tcBorders>
            <w:shd w:val="clear" w:color="000000" w:fill="E2EFDA"/>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Female </w:t>
            </w:r>
          </w:p>
        </w:tc>
        <w:tc>
          <w:tcPr>
            <w:tcW w:w="851" w:type="dxa"/>
            <w:tcBorders>
              <w:top w:val="nil"/>
              <w:left w:val="nil"/>
              <w:bottom w:val="single" w:sz="8" w:space="0" w:color="auto"/>
              <w:right w:val="single" w:sz="8" w:space="0" w:color="auto"/>
            </w:tcBorders>
            <w:shd w:val="clear" w:color="000000" w:fill="FFFFFF"/>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94</w:t>
            </w:r>
          </w:p>
        </w:tc>
        <w:tc>
          <w:tcPr>
            <w:tcW w:w="901" w:type="dxa"/>
            <w:tcBorders>
              <w:top w:val="nil"/>
              <w:left w:val="nil"/>
              <w:bottom w:val="single" w:sz="8" w:space="0" w:color="auto"/>
              <w:right w:val="single" w:sz="8" w:space="0" w:color="auto"/>
            </w:tcBorders>
            <w:shd w:val="clear" w:color="000000" w:fill="FFFFFF"/>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102</w:t>
            </w:r>
          </w:p>
        </w:tc>
        <w:tc>
          <w:tcPr>
            <w:tcW w:w="851"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102</w:t>
            </w:r>
          </w:p>
        </w:tc>
        <w:tc>
          <w:tcPr>
            <w:tcW w:w="838"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118</w:t>
            </w:r>
          </w:p>
        </w:tc>
        <w:tc>
          <w:tcPr>
            <w:tcW w:w="838" w:type="dxa"/>
            <w:tcBorders>
              <w:top w:val="nil"/>
              <w:left w:val="nil"/>
              <w:bottom w:val="single" w:sz="8" w:space="0" w:color="auto"/>
              <w:right w:val="single" w:sz="8" w:space="0" w:color="auto"/>
            </w:tcBorders>
            <w:shd w:val="clear" w:color="000000" w:fill="FFFFFF"/>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124</w:t>
            </w:r>
          </w:p>
        </w:tc>
        <w:tc>
          <w:tcPr>
            <w:tcW w:w="976" w:type="dxa"/>
            <w:tcBorders>
              <w:top w:val="nil"/>
              <w:left w:val="nil"/>
              <w:bottom w:val="single" w:sz="8" w:space="0" w:color="auto"/>
              <w:right w:val="single" w:sz="8" w:space="0" w:color="auto"/>
            </w:tcBorders>
            <w:shd w:val="clear" w:color="000000" w:fill="FFFFFF"/>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124</w:t>
            </w: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31.9%</w:t>
            </w: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39.5%</w:t>
            </w: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A87940">
              <w:rPr>
                <w:rFonts w:ascii="Calibri" w:eastAsia="Times New Roman" w:hAnsi="Calibri" w:cs="Calibri"/>
                <w:color w:val="000000"/>
                <w:highlight w:val="lightGray"/>
                <w:lang w:eastAsia="en-GB"/>
              </w:rPr>
              <w:t>43.2%</w:t>
            </w: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b/>
                <w:color w:val="000000"/>
                <w:lang w:eastAsia="en-GB"/>
              </w:rPr>
            </w:pPr>
            <w:r w:rsidRPr="004135C2">
              <w:rPr>
                <w:rFonts w:ascii="Calibri" w:eastAsia="Times New Roman" w:hAnsi="Calibri" w:cs="Calibri"/>
                <w:b/>
                <w:color w:val="000000"/>
                <w:lang w:eastAsia="en-GB"/>
              </w:rPr>
              <w:t>3.7%</w:t>
            </w:r>
          </w:p>
        </w:tc>
      </w:tr>
      <w:tr w:rsidR="004135C2" w:rsidRPr="004135C2" w:rsidTr="004135C2">
        <w:trPr>
          <w:trHeight w:val="294"/>
        </w:trPr>
        <w:tc>
          <w:tcPr>
            <w:tcW w:w="1266" w:type="dxa"/>
            <w:tcBorders>
              <w:top w:val="nil"/>
              <w:left w:val="single" w:sz="8" w:space="0" w:color="auto"/>
              <w:bottom w:val="single" w:sz="8" w:space="0" w:color="auto"/>
              <w:right w:val="single" w:sz="8" w:space="0" w:color="auto"/>
            </w:tcBorders>
            <w:shd w:val="clear" w:color="000000" w:fill="E2EFDA"/>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Male </w:t>
            </w:r>
          </w:p>
        </w:tc>
        <w:tc>
          <w:tcPr>
            <w:tcW w:w="851" w:type="dxa"/>
            <w:tcBorders>
              <w:top w:val="nil"/>
              <w:left w:val="nil"/>
              <w:bottom w:val="single" w:sz="8" w:space="0" w:color="auto"/>
              <w:right w:val="single" w:sz="8" w:space="0" w:color="auto"/>
            </w:tcBorders>
            <w:shd w:val="clear" w:color="000000" w:fill="FFFFFF"/>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144</w:t>
            </w:r>
          </w:p>
        </w:tc>
        <w:tc>
          <w:tcPr>
            <w:tcW w:w="901" w:type="dxa"/>
            <w:tcBorders>
              <w:top w:val="nil"/>
              <w:left w:val="nil"/>
              <w:bottom w:val="single" w:sz="8" w:space="0" w:color="auto"/>
              <w:right w:val="single" w:sz="8" w:space="0" w:color="auto"/>
            </w:tcBorders>
            <w:shd w:val="clear" w:color="000000" w:fill="FFFFFF"/>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152</w:t>
            </w:r>
          </w:p>
        </w:tc>
        <w:tc>
          <w:tcPr>
            <w:tcW w:w="851"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152</w:t>
            </w:r>
          </w:p>
        </w:tc>
        <w:tc>
          <w:tcPr>
            <w:tcW w:w="838"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165</w:t>
            </w:r>
          </w:p>
        </w:tc>
        <w:tc>
          <w:tcPr>
            <w:tcW w:w="838" w:type="dxa"/>
            <w:tcBorders>
              <w:top w:val="nil"/>
              <w:left w:val="nil"/>
              <w:bottom w:val="single" w:sz="8" w:space="0" w:color="auto"/>
              <w:right w:val="single" w:sz="8" w:space="0" w:color="auto"/>
            </w:tcBorders>
            <w:shd w:val="clear" w:color="000000" w:fill="FFFFFF"/>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163</w:t>
            </w:r>
          </w:p>
        </w:tc>
        <w:tc>
          <w:tcPr>
            <w:tcW w:w="976" w:type="dxa"/>
            <w:tcBorders>
              <w:top w:val="nil"/>
              <w:left w:val="nil"/>
              <w:bottom w:val="single" w:sz="8" w:space="0" w:color="auto"/>
              <w:right w:val="single" w:sz="8" w:space="0" w:color="auto"/>
            </w:tcBorders>
            <w:shd w:val="clear" w:color="000000" w:fill="FFFFFF"/>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163</w:t>
            </w: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13.2%</w:t>
            </w: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60.5%</w:t>
            </w: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56.8%</w:t>
            </w: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p>
        </w:tc>
      </w:tr>
      <w:tr w:rsidR="004135C2" w:rsidRPr="004135C2" w:rsidTr="004135C2">
        <w:trPr>
          <w:trHeight w:val="260"/>
        </w:trPr>
        <w:tc>
          <w:tcPr>
            <w:tcW w:w="1266" w:type="dxa"/>
            <w:tcBorders>
              <w:top w:val="nil"/>
              <w:left w:val="single" w:sz="8" w:space="0" w:color="auto"/>
              <w:bottom w:val="single" w:sz="8" w:space="0" w:color="auto"/>
              <w:right w:val="single" w:sz="8" w:space="0" w:color="auto"/>
            </w:tcBorders>
            <w:shd w:val="clear" w:color="000000" w:fill="EAF1DD"/>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total </w:t>
            </w:r>
          </w:p>
        </w:tc>
        <w:tc>
          <w:tcPr>
            <w:tcW w:w="851" w:type="dxa"/>
            <w:tcBorders>
              <w:top w:val="nil"/>
              <w:left w:val="nil"/>
              <w:bottom w:val="single" w:sz="8" w:space="0" w:color="auto"/>
              <w:right w:val="single" w:sz="8" w:space="0" w:color="auto"/>
            </w:tcBorders>
            <w:shd w:val="clear" w:color="000000" w:fill="EAF1DD"/>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238</w:t>
            </w:r>
          </w:p>
        </w:tc>
        <w:tc>
          <w:tcPr>
            <w:tcW w:w="901" w:type="dxa"/>
            <w:tcBorders>
              <w:top w:val="nil"/>
              <w:left w:val="nil"/>
              <w:bottom w:val="single" w:sz="8" w:space="0" w:color="auto"/>
              <w:right w:val="single" w:sz="8" w:space="0" w:color="auto"/>
            </w:tcBorders>
            <w:shd w:val="clear" w:color="000000" w:fill="EAF1DD"/>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254</w:t>
            </w:r>
          </w:p>
        </w:tc>
        <w:tc>
          <w:tcPr>
            <w:tcW w:w="851" w:type="dxa"/>
            <w:tcBorders>
              <w:top w:val="nil"/>
              <w:left w:val="nil"/>
              <w:bottom w:val="single" w:sz="8" w:space="0" w:color="auto"/>
              <w:right w:val="single" w:sz="8" w:space="0" w:color="auto"/>
            </w:tcBorders>
            <w:shd w:val="clear" w:color="000000" w:fill="EAF1DD"/>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254</w:t>
            </w:r>
          </w:p>
        </w:tc>
        <w:tc>
          <w:tcPr>
            <w:tcW w:w="838" w:type="dxa"/>
            <w:tcBorders>
              <w:top w:val="nil"/>
              <w:left w:val="nil"/>
              <w:bottom w:val="single" w:sz="8" w:space="0" w:color="auto"/>
              <w:right w:val="single" w:sz="8" w:space="0" w:color="auto"/>
            </w:tcBorders>
            <w:shd w:val="clear" w:color="000000" w:fill="EAF1DD"/>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283</w:t>
            </w:r>
          </w:p>
        </w:tc>
        <w:tc>
          <w:tcPr>
            <w:tcW w:w="838" w:type="dxa"/>
            <w:tcBorders>
              <w:top w:val="nil"/>
              <w:left w:val="nil"/>
              <w:bottom w:val="single" w:sz="8" w:space="0" w:color="auto"/>
              <w:right w:val="single" w:sz="8" w:space="0" w:color="auto"/>
            </w:tcBorders>
            <w:shd w:val="clear" w:color="000000" w:fill="EAF1DD"/>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287</w:t>
            </w:r>
          </w:p>
        </w:tc>
        <w:tc>
          <w:tcPr>
            <w:tcW w:w="976" w:type="dxa"/>
            <w:tcBorders>
              <w:top w:val="nil"/>
              <w:left w:val="nil"/>
              <w:bottom w:val="single" w:sz="8" w:space="0" w:color="auto"/>
              <w:right w:val="single" w:sz="8" w:space="0" w:color="auto"/>
            </w:tcBorders>
            <w:shd w:val="clear" w:color="000000" w:fill="EAF1DD"/>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287</w:t>
            </w:r>
          </w:p>
        </w:tc>
        <w:tc>
          <w:tcPr>
            <w:tcW w:w="893" w:type="dxa"/>
            <w:tcBorders>
              <w:top w:val="nil"/>
              <w:left w:val="nil"/>
              <w:bottom w:val="nil"/>
              <w:right w:val="single" w:sz="8" w:space="0" w:color="auto"/>
            </w:tcBorders>
            <w:shd w:val="clear" w:color="000000" w:fill="EAF1DD"/>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20.60%</w:t>
            </w: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center"/>
              <w:rPr>
                <w:rFonts w:ascii="Calibri" w:eastAsia="Times New Roman" w:hAnsi="Calibri" w:cs="Calibri"/>
                <w:b/>
                <w:bCs/>
                <w:lang w:eastAsia="en-GB"/>
              </w:rPr>
            </w:pP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r>
      <w:tr w:rsidR="004135C2" w:rsidRPr="004135C2" w:rsidTr="004135C2">
        <w:trPr>
          <w:trHeight w:val="207"/>
        </w:trPr>
        <w:tc>
          <w:tcPr>
            <w:tcW w:w="6521" w:type="dxa"/>
            <w:gridSpan w:val="7"/>
            <w:tcBorders>
              <w:top w:val="single" w:sz="8" w:space="0" w:color="auto"/>
              <w:left w:val="single" w:sz="8" w:space="0" w:color="auto"/>
              <w:bottom w:val="single" w:sz="8" w:space="0" w:color="auto"/>
              <w:right w:val="single" w:sz="8" w:space="0" w:color="000000"/>
            </w:tcBorders>
            <w:shd w:val="clear" w:color="000000" w:fill="DDEBF7"/>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BEDFORD </w:t>
            </w: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Calibri" w:eastAsia="Times New Roman" w:hAnsi="Calibri" w:cs="Calibri"/>
                <w:b/>
                <w:bCs/>
                <w:lang w:eastAsia="en-GB"/>
              </w:rPr>
            </w:pP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r>
      <w:tr w:rsidR="004135C2" w:rsidRPr="004135C2" w:rsidTr="004135C2">
        <w:trPr>
          <w:trHeight w:val="294"/>
        </w:trPr>
        <w:tc>
          <w:tcPr>
            <w:tcW w:w="1266" w:type="dxa"/>
            <w:tcBorders>
              <w:top w:val="nil"/>
              <w:left w:val="single" w:sz="8" w:space="0" w:color="auto"/>
              <w:bottom w:val="single" w:sz="8" w:space="0" w:color="auto"/>
              <w:right w:val="single" w:sz="8" w:space="0" w:color="auto"/>
            </w:tcBorders>
            <w:shd w:val="clear" w:color="000000" w:fill="DDEBF7"/>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female </w:t>
            </w:r>
          </w:p>
        </w:tc>
        <w:tc>
          <w:tcPr>
            <w:tcW w:w="851" w:type="dxa"/>
            <w:tcBorders>
              <w:top w:val="nil"/>
              <w:left w:val="nil"/>
              <w:bottom w:val="single" w:sz="8" w:space="0" w:color="auto"/>
              <w:right w:val="single" w:sz="8" w:space="0" w:color="auto"/>
            </w:tcBorders>
            <w:shd w:val="clear" w:color="auto" w:fill="auto"/>
            <w:vAlign w:val="center"/>
            <w:hideMark/>
          </w:tcPr>
          <w:p w:rsidR="004135C2" w:rsidRPr="009D61F7" w:rsidRDefault="004135C2" w:rsidP="004135C2">
            <w:pPr>
              <w:spacing w:after="0" w:line="240" w:lineRule="auto"/>
              <w:jc w:val="center"/>
              <w:rPr>
                <w:rFonts w:ascii="Calibri" w:eastAsia="Times New Roman" w:hAnsi="Calibri" w:cs="Calibri"/>
                <w:lang w:eastAsia="en-GB"/>
              </w:rPr>
            </w:pPr>
            <w:r w:rsidRPr="009D61F7">
              <w:rPr>
                <w:rFonts w:ascii="Calibri" w:eastAsia="Times New Roman" w:hAnsi="Calibri" w:cs="Calibri"/>
                <w:lang w:eastAsia="en-GB"/>
              </w:rPr>
              <w:t>TBC</w:t>
            </w:r>
          </w:p>
        </w:tc>
        <w:tc>
          <w:tcPr>
            <w:tcW w:w="901" w:type="dxa"/>
            <w:tcBorders>
              <w:top w:val="nil"/>
              <w:left w:val="nil"/>
              <w:bottom w:val="single" w:sz="8" w:space="0" w:color="auto"/>
              <w:right w:val="single" w:sz="8" w:space="0" w:color="auto"/>
            </w:tcBorders>
            <w:shd w:val="clear" w:color="auto" w:fill="auto"/>
            <w:vAlign w:val="center"/>
            <w:hideMark/>
          </w:tcPr>
          <w:p w:rsidR="004135C2" w:rsidRPr="009D61F7" w:rsidRDefault="004135C2" w:rsidP="004135C2">
            <w:pPr>
              <w:spacing w:after="0" w:line="240" w:lineRule="auto"/>
              <w:jc w:val="center"/>
              <w:rPr>
                <w:rFonts w:ascii="Calibri" w:eastAsia="Times New Roman" w:hAnsi="Calibri" w:cs="Calibri"/>
                <w:lang w:eastAsia="en-GB"/>
              </w:rPr>
            </w:pPr>
            <w:r w:rsidRPr="009D61F7">
              <w:rPr>
                <w:rFonts w:ascii="Calibri" w:eastAsia="Times New Roman" w:hAnsi="Calibri" w:cs="Calibri"/>
                <w:lang w:eastAsia="en-GB"/>
              </w:rPr>
              <w:t>TBC</w:t>
            </w:r>
          </w:p>
        </w:tc>
        <w:tc>
          <w:tcPr>
            <w:tcW w:w="851" w:type="dxa"/>
            <w:tcBorders>
              <w:top w:val="nil"/>
              <w:left w:val="nil"/>
              <w:bottom w:val="single" w:sz="8" w:space="0" w:color="auto"/>
              <w:right w:val="single" w:sz="8" w:space="0" w:color="auto"/>
            </w:tcBorders>
            <w:shd w:val="clear" w:color="auto" w:fill="auto"/>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44</w:t>
            </w:r>
          </w:p>
        </w:tc>
        <w:tc>
          <w:tcPr>
            <w:tcW w:w="838" w:type="dxa"/>
            <w:tcBorders>
              <w:top w:val="nil"/>
              <w:left w:val="nil"/>
              <w:bottom w:val="single" w:sz="8" w:space="0" w:color="auto"/>
              <w:right w:val="single" w:sz="8" w:space="0" w:color="auto"/>
            </w:tcBorders>
            <w:shd w:val="clear" w:color="auto" w:fill="auto"/>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46</w:t>
            </w:r>
          </w:p>
        </w:tc>
        <w:tc>
          <w:tcPr>
            <w:tcW w:w="838" w:type="dxa"/>
            <w:tcBorders>
              <w:top w:val="nil"/>
              <w:left w:val="nil"/>
              <w:bottom w:val="single" w:sz="8" w:space="0" w:color="auto"/>
              <w:right w:val="single" w:sz="8" w:space="0" w:color="auto"/>
            </w:tcBorders>
            <w:shd w:val="clear" w:color="000000" w:fill="FFFFFF"/>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46</w:t>
            </w:r>
          </w:p>
        </w:tc>
        <w:tc>
          <w:tcPr>
            <w:tcW w:w="976" w:type="dxa"/>
            <w:tcBorders>
              <w:top w:val="nil"/>
              <w:left w:val="nil"/>
              <w:bottom w:val="single" w:sz="8" w:space="0" w:color="auto"/>
              <w:right w:val="single" w:sz="8" w:space="0" w:color="auto"/>
            </w:tcBorders>
            <w:shd w:val="clear" w:color="000000" w:fill="FFFFFF"/>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46</w:t>
            </w: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4.60%</w:t>
            </w: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28.9%</w:t>
            </w: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A87940">
              <w:rPr>
                <w:rFonts w:ascii="Calibri" w:eastAsia="Times New Roman" w:hAnsi="Calibri" w:cs="Calibri"/>
                <w:color w:val="000000"/>
                <w:highlight w:val="lightGray"/>
                <w:lang w:eastAsia="en-GB"/>
              </w:rPr>
              <w:t>30.1%</w:t>
            </w: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b/>
                <w:color w:val="000000"/>
                <w:lang w:eastAsia="en-GB"/>
              </w:rPr>
            </w:pPr>
            <w:r w:rsidRPr="004135C2">
              <w:rPr>
                <w:rFonts w:ascii="Calibri" w:eastAsia="Times New Roman" w:hAnsi="Calibri" w:cs="Calibri"/>
                <w:b/>
                <w:color w:val="000000"/>
                <w:lang w:eastAsia="en-GB"/>
              </w:rPr>
              <w:t>1.1%</w:t>
            </w:r>
          </w:p>
        </w:tc>
      </w:tr>
      <w:tr w:rsidR="004135C2" w:rsidRPr="004135C2" w:rsidTr="004135C2">
        <w:trPr>
          <w:trHeight w:val="294"/>
        </w:trPr>
        <w:tc>
          <w:tcPr>
            <w:tcW w:w="1266" w:type="dxa"/>
            <w:tcBorders>
              <w:top w:val="nil"/>
              <w:left w:val="single" w:sz="8" w:space="0" w:color="auto"/>
              <w:bottom w:val="single" w:sz="8" w:space="0" w:color="auto"/>
              <w:right w:val="single" w:sz="8" w:space="0" w:color="auto"/>
            </w:tcBorders>
            <w:shd w:val="clear" w:color="000000" w:fill="DDEBF7"/>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Male </w:t>
            </w:r>
          </w:p>
        </w:tc>
        <w:tc>
          <w:tcPr>
            <w:tcW w:w="851" w:type="dxa"/>
            <w:tcBorders>
              <w:top w:val="nil"/>
              <w:left w:val="nil"/>
              <w:bottom w:val="single" w:sz="8" w:space="0" w:color="auto"/>
              <w:right w:val="single" w:sz="8" w:space="0" w:color="auto"/>
            </w:tcBorders>
            <w:shd w:val="clear" w:color="auto" w:fill="auto"/>
            <w:vAlign w:val="center"/>
            <w:hideMark/>
          </w:tcPr>
          <w:p w:rsidR="004135C2" w:rsidRPr="009D61F7" w:rsidRDefault="004135C2" w:rsidP="004135C2">
            <w:pPr>
              <w:spacing w:after="0" w:line="240" w:lineRule="auto"/>
              <w:jc w:val="center"/>
              <w:rPr>
                <w:rFonts w:ascii="Calibri" w:eastAsia="Times New Roman" w:hAnsi="Calibri" w:cs="Calibri"/>
                <w:lang w:eastAsia="en-GB"/>
              </w:rPr>
            </w:pPr>
            <w:r w:rsidRPr="009D61F7">
              <w:rPr>
                <w:rFonts w:ascii="Calibri" w:eastAsia="Times New Roman" w:hAnsi="Calibri" w:cs="Calibri"/>
                <w:lang w:eastAsia="en-GB"/>
              </w:rPr>
              <w:t>TBC</w:t>
            </w:r>
          </w:p>
        </w:tc>
        <w:tc>
          <w:tcPr>
            <w:tcW w:w="901" w:type="dxa"/>
            <w:tcBorders>
              <w:top w:val="nil"/>
              <w:left w:val="nil"/>
              <w:bottom w:val="single" w:sz="8" w:space="0" w:color="auto"/>
              <w:right w:val="single" w:sz="8" w:space="0" w:color="auto"/>
            </w:tcBorders>
            <w:shd w:val="clear" w:color="auto" w:fill="auto"/>
            <w:vAlign w:val="center"/>
            <w:hideMark/>
          </w:tcPr>
          <w:p w:rsidR="004135C2" w:rsidRPr="009D61F7" w:rsidRDefault="004135C2" w:rsidP="004135C2">
            <w:pPr>
              <w:spacing w:after="0" w:line="240" w:lineRule="auto"/>
              <w:jc w:val="center"/>
              <w:rPr>
                <w:rFonts w:ascii="Calibri" w:eastAsia="Times New Roman" w:hAnsi="Calibri" w:cs="Calibri"/>
                <w:lang w:eastAsia="en-GB"/>
              </w:rPr>
            </w:pPr>
            <w:r w:rsidRPr="009D61F7">
              <w:rPr>
                <w:rFonts w:ascii="Calibri" w:eastAsia="Times New Roman" w:hAnsi="Calibri" w:cs="Calibri"/>
                <w:lang w:eastAsia="en-GB"/>
              </w:rPr>
              <w:t>TBC</w:t>
            </w:r>
          </w:p>
        </w:tc>
        <w:tc>
          <w:tcPr>
            <w:tcW w:w="851" w:type="dxa"/>
            <w:tcBorders>
              <w:top w:val="nil"/>
              <w:left w:val="nil"/>
              <w:bottom w:val="single" w:sz="8" w:space="0" w:color="auto"/>
              <w:right w:val="single" w:sz="8" w:space="0" w:color="auto"/>
            </w:tcBorders>
            <w:shd w:val="clear" w:color="auto" w:fill="auto"/>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108</w:t>
            </w:r>
          </w:p>
        </w:tc>
        <w:tc>
          <w:tcPr>
            <w:tcW w:w="838" w:type="dxa"/>
            <w:tcBorders>
              <w:top w:val="nil"/>
              <w:left w:val="nil"/>
              <w:bottom w:val="single" w:sz="8" w:space="0" w:color="auto"/>
              <w:right w:val="single" w:sz="8" w:space="0" w:color="auto"/>
            </w:tcBorders>
            <w:shd w:val="clear" w:color="auto" w:fill="auto"/>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107</w:t>
            </w:r>
          </w:p>
        </w:tc>
        <w:tc>
          <w:tcPr>
            <w:tcW w:w="838" w:type="dxa"/>
            <w:tcBorders>
              <w:top w:val="nil"/>
              <w:left w:val="nil"/>
              <w:bottom w:val="single" w:sz="8" w:space="0" w:color="auto"/>
              <w:right w:val="single" w:sz="8" w:space="0" w:color="auto"/>
            </w:tcBorders>
            <w:shd w:val="clear" w:color="000000" w:fill="FFFFFF"/>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107</w:t>
            </w:r>
          </w:p>
        </w:tc>
        <w:tc>
          <w:tcPr>
            <w:tcW w:w="976" w:type="dxa"/>
            <w:tcBorders>
              <w:top w:val="nil"/>
              <w:left w:val="nil"/>
              <w:bottom w:val="single" w:sz="8" w:space="0" w:color="auto"/>
              <w:right w:val="single" w:sz="8" w:space="0" w:color="auto"/>
            </w:tcBorders>
            <w:shd w:val="clear" w:color="000000" w:fill="FFFFFF"/>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107</w:t>
            </w: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-0.92%</w:t>
            </w: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71.1%</w:t>
            </w: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69.9%</w:t>
            </w: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p>
        </w:tc>
      </w:tr>
      <w:tr w:rsidR="004135C2" w:rsidRPr="004135C2" w:rsidTr="004135C2">
        <w:trPr>
          <w:trHeight w:val="294"/>
        </w:trPr>
        <w:tc>
          <w:tcPr>
            <w:tcW w:w="1266" w:type="dxa"/>
            <w:tcBorders>
              <w:top w:val="nil"/>
              <w:left w:val="single" w:sz="8" w:space="0" w:color="auto"/>
              <w:bottom w:val="single" w:sz="8" w:space="0" w:color="auto"/>
              <w:right w:val="single" w:sz="8" w:space="0" w:color="auto"/>
            </w:tcBorders>
            <w:shd w:val="clear" w:color="000000" w:fill="DDEBF7"/>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Total </w:t>
            </w:r>
          </w:p>
        </w:tc>
        <w:tc>
          <w:tcPr>
            <w:tcW w:w="851" w:type="dxa"/>
            <w:tcBorders>
              <w:top w:val="nil"/>
              <w:left w:val="nil"/>
              <w:bottom w:val="single" w:sz="8" w:space="0" w:color="auto"/>
              <w:right w:val="single" w:sz="8" w:space="0" w:color="auto"/>
            </w:tcBorders>
            <w:shd w:val="clear" w:color="000000" w:fill="DBE5F1"/>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0</w:t>
            </w:r>
          </w:p>
        </w:tc>
        <w:tc>
          <w:tcPr>
            <w:tcW w:w="901" w:type="dxa"/>
            <w:tcBorders>
              <w:top w:val="nil"/>
              <w:left w:val="nil"/>
              <w:bottom w:val="single" w:sz="8" w:space="0" w:color="auto"/>
              <w:right w:val="single" w:sz="8" w:space="0" w:color="auto"/>
            </w:tcBorders>
            <w:shd w:val="clear" w:color="000000" w:fill="DBE5F1"/>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0</w:t>
            </w:r>
          </w:p>
        </w:tc>
        <w:tc>
          <w:tcPr>
            <w:tcW w:w="851" w:type="dxa"/>
            <w:tcBorders>
              <w:top w:val="nil"/>
              <w:left w:val="nil"/>
              <w:bottom w:val="single" w:sz="8" w:space="0" w:color="auto"/>
              <w:right w:val="single" w:sz="8" w:space="0" w:color="auto"/>
            </w:tcBorders>
            <w:shd w:val="clear" w:color="000000" w:fill="DBE5F1"/>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152</w:t>
            </w:r>
          </w:p>
        </w:tc>
        <w:tc>
          <w:tcPr>
            <w:tcW w:w="838" w:type="dxa"/>
            <w:tcBorders>
              <w:top w:val="nil"/>
              <w:left w:val="nil"/>
              <w:bottom w:val="single" w:sz="8" w:space="0" w:color="auto"/>
              <w:right w:val="single" w:sz="8" w:space="0" w:color="auto"/>
            </w:tcBorders>
            <w:shd w:val="clear" w:color="000000" w:fill="DBE5F1"/>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153</w:t>
            </w:r>
          </w:p>
        </w:tc>
        <w:tc>
          <w:tcPr>
            <w:tcW w:w="838" w:type="dxa"/>
            <w:tcBorders>
              <w:top w:val="nil"/>
              <w:left w:val="nil"/>
              <w:bottom w:val="single" w:sz="8" w:space="0" w:color="auto"/>
              <w:right w:val="single" w:sz="8" w:space="0" w:color="auto"/>
            </w:tcBorders>
            <w:shd w:val="clear" w:color="000000" w:fill="DBE5F1"/>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153</w:t>
            </w:r>
          </w:p>
        </w:tc>
        <w:tc>
          <w:tcPr>
            <w:tcW w:w="976" w:type="dxa"/>
            <w:tcBorders>
              <w:top w:val="nil"/>
              <w:left w:val="nil"/>
              <w:bottom w:val="single" w:sz="8" w:space="0" w:color="auto"/>
              <w:right w:val="single" w:sz="8" w:space="0" w:color="auto"/>
            </w:tcBorders>
            <w:shd w:val="clear" w:color="000000" w:fill="DBE5F1"/>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153</w:t>
            </w:r>
          </w:p>
        </w:tc>
        <w:tc>
          <w:tcPr>
            <w:tcW w:w="893" w:type="dxa"/>
            <w:tcBorders>
              <w:top w:val="nil"/>
              <w:left w:val="nil"/>
              <w:bottom w:val="nil"/>
              <w:right w:val="nil"/>
            </w:tcBorders>
            <w:shd w:val="clear" w:color="000000" w:fill="DCE6F1"/>
            <w:noWrap/>
            <w:vAlign w:val="bottom"/>
            <w:hideMark/>
          </w:tcPr>
          <w:p w:rsidR="004135C2" w:rsidRPr="004135C2" w:rsidRDefault="004135C2" w:rsidP="004135C2">
            <w:pPr>
              <w:spacing w:after="0" w:line="240" w:lineRule="auto"/>
              <w:jc w:val="right"/>
              <w:rPr>
                <w:rFonts w:ascii="Calibri" w:eastAsia="Times New Roman" w:hAnsi="Calibri" w:cs="Calibri"/>
                <w:b/>
                <w:bCs/>
                <w:color w:val="000000"/>
                <w:lang w:eastAsia="en-GB"/>
              </w:rPr>
            </w:pPr>
            <w:r w:rsidRPr="004135C2">
              <w:rPr>
                <w:rFonts w:ascii="Calibri" w:eastAsia="Times New Roman" w:hAnsi="Calibri" w:cs="Calibri"/>
                <w:b/>
                <w:bCs/>
                <w:color w:val="000000"/>
                <w:lang w:eastAsia="en-GB"/>
              </w:rPr>
              <w:t>0.65%</w:t>
            </w: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b/>
                <w:bCs/>
                <w:color w:val="000000"/>
                <w:lang w:eastAsia="en-GB"/>
              </w:rPr>
            </w:pP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r>
      <w:tr w:rsidR="004135C2" w:rsidRPr="004135C2" w:rsidTr="004135C2">
        <w:trPr>
          <w:trHeight w:val="290"/>
        </w:trPr>
        <w:tc>
          <w:tcPr>
            <w:tcW w:w="6521" w:type="dxa"/>
            <w:gridSpan w:val="7"/>
            <w:tcBorders>
              <w:top w:val="single" w:sz="8" w:space="0" w:color="auto"/>
              <w:left w:val="single" w:sz="8" w:space="0" w:color="auto"/>
              <w:bottom w:val="single" w:sz="8" w:space="0" w:color="auto"/>
              <w:right w:val="single" w:sz="8" w:space="0" w:color="000000"/>
            </w:tcBorders>
            <w:shd w:val="clear" w:color="000000" w:fill="8DB3E2"/>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BHFT TRUST TOTALS</w:t>
            </w: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Calibri" w:eastAsia="Times New Roman" w:hAnsi="Calibri" w:cs="Calibri"/>
                <w:b/>
                <w:bCs/>
                <w:lang w:eastAsia="en-GB"/>
              </w:rPr>
            </w:pP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r>
      <w:tr w:rsidR="004135C2" w:rsidRPr="004135C2" w:rsidTr="004135C2">
        <w:trPr>
          <w:trHeight w:val="260"/>
        </w:trPr>
        <w:tc>
          <w:tcPr>
            <w:tcW w:w="1266" w:type="dxa"/>
            <w:tcBorders>
              <w:top w:val="nil"/>
              <w:left w:val="single" w:sz="8" w:space="0" w:color="auto"/>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Fem BHFT</w:t>
            </w:r>
          </w:p>
        </w:tc>
        <w:tc>
          <w:tcPr>
            <w:tcW w:w="851" w:type="dxa"/>
            <w:tcBorders>
              <w:top w:val="nil"/>
              <w:left w:val="nil"/>
              <w:bottom w:val="single" w:sz="8" w:space="0" w:color="auto"/>
              <w:right w:val="single" w:sz="8" w:space="0" w:color="auto"/>
            </w:tcBorders>
            <w:shd w:val="clear" w:color="auto" w:fill="auto"/>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TBC</w:t>
            </w:r>
          </w:p>
        </w:tc>
        <w:tc>
          <w:tcPr>
            <w:tcW w:w="901" w:type="dxa"/>
            <w:tcBorders>
              <w:top w:val="nil"/>
              <w:left w:val="nil"/>
              <w:bottom w:val="single" w:sz="8" w:space="0" w:color="auto"/>
              <w:right w:val="single" w:sz="8" w:space="0" w:color="auto"/>
            </w:tcBorders>
            <w:shd w:val="clear" w:color="auto" w:fill="auto"/>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TBC</w:t>
            </w:r>
          </w:p>
        </w:tc>
        <w:tc>
          <w:tcPr>
            <w:tcW w:w="851"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146</w:t>
            </w:r>
          </w:p>
        </w:tc>
        <w:tc>
          <w:tcPr>
            <w:tcW w:w="838"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164</w:t>
            </w:r>
          </w:p>
        </w:tc>
        <w:tc>
          <w:tcPr>
            <w:tcW w:w="838"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170</w:t>
            </w:r>
          </w:p>
        </w:tc>
        <w:tc>
          <w:tcPr>
            <w:tcW w:w="976"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170</w:t>
            </w: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16.43%</w:t>
            </w: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36.0%</w:t>
            </w: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A87940">
              <w:rPr>
                <w:rFonts w:ascii="Calibri" w:eastAsia="Times New Roman" w:hAnsi="Calibri" w:cs="Calibri"/>
                <w:color w:val="000000"/>
                <w:highlight w:val="lightGray"/>
                <w:lang w:eastAsia="en-GB"/>
              </w:rPr>
              <w:t>38.6%</w:t>
            </w: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b/>
                <w:color w:val="000000"/>
                <w:lang w:eastAsia="en-GB"/>
              </w:rPr>
            </w:pPr>
            <w:r w:rsidRPr="004135C2">
              <w:rPr>
                <w:rFonts w:ascii="Calibri" w:eastAsia="Times New Roman" w:hAnsi="Calibri" w:cs="Calibri"/>
                <w:b/>
                <w:color w:val="000000"/>
                <w:lang w:eastAsia="en-GB"/>
              </w:rPr>
              <w:t>2.7%</w:t>
            </w:r>
          </w:p>
        </w:tc>
      </w:tr>
      <w:tr w:rsidR="004135C2" w:rsidRPr="004135C2" w:rsidTr="004135C2">
        <w:trPr>
          <w:trHeight w:val="294"/>
        </w:trPr>
        <w:tc>
          <w:tcPr>
            <w:tcW w:w="1266" w:type="dxa"/>
            <w:tcBorders>
              <w:top w:val="nil"/>
              <w:left w:val="single" w:sz="8" w:space="0" w:color="auto"/>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Male BHFT </w:t>
            </w:r>
          </w:p>
        </w:tc>
        <w:tc>
          <w:tcPr>
            <w:tcW w:w="851" w:type="dxa"/>
            <w:tcBorders>
              <w:top w:val="nil"/>
              <w:left w:val="nil"/>
              <w:bottom w:val="single" w:sz="8" w:space="0" w:color="auto"/>
              <w:right w:val="single" w:sz="8" w:space="0" w:color="auto"/>
            </w:tcBorders>
            <w:shd w:val="clear" w:color="auto" w:fill="auto"/>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TBC</w:t>
            </w:r>
          </w:p>
        </w:tc>
        <w:tc>
          <w:tcPr>
            <w:tcW w:w="901" w:type="dxa"/>
            <w:tcBorders>
              <w:top w:val="nil"/>
              <w:left w:val="nil"/>
              <w:bottom w:val="single" w:sz="8" w:space="0" w:color="auto"/>
              <w:right w:val="single" w:sz="8" w:space="0" w:color="auto"/>
            </w:tcBorders>
            <w:shd w:val="clear" w:color="auto" w:fill="auto"/>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TBC</w:t>
            </w:r>
          </w:p>
        </w:tc>
        <w:tc>
          <w:tcPr>
            <w:tcW w:w="851"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260</w:t>
            </w:r>
          </w:p>
        </w:tc>
        <w:tc>
          <w:tcPr>
            <w:tcW w:w="838"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272</w:t>
            </w:r>
          </w:p>
        </w:tc>
        <w:tc>
          <w:tcPr>
            <w:tcW w:w="838"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270</w:t>
            </w:r>
          </w:p>
        </w:tc>
        <w:tc>
          <w:tcPr>
            <w:tcW w:w="976" w:type="dxa"/>
            <w:tcBorders>
              <w:top w:val="nil"/>
              <w:left w:val="nil"/>
              <w:bottom w:val="single" w:sz="8" w:space="0" w:color="auto"/>
              <w:right w:val="single" w:sz="8" w:space="0" w:color="auto"/>
            </w:tcBorders>
            <w:shd w:val="clear" w:color="auto" w:fill="auto"/>
            <w:noWrap/>
            <w:vAlign w:val="center"/>
            <w:hideMark/>
          </w:tcPr>
          <w:p w:rsidR="004135C2" w:rsidRPr="004135C2" w:rsidRDefault="004135C2" w:rsidP="004135C2">
            <w:pPr>
              <w:spacing w:after="0" w:line="240" w:lineRule="auto"/>
              <w:jc w:val="center"/>
              <w:rPr>
                <w:rFonts w:ascii="Calibri" w:eastAsia="Times New Roman" w:hAnsi="Calibri" w:cs="Calibri"/>
                <w:lang w:eastAsia="en-GB"/>
              </w:rPr>
            </w:pPr>
            <w:r w:rsidRPr="004135C2">
              <w:rPr>
                <w:rFonts w:ascii="Calibri" w:eastAsia="Times New Roman" w:hAnsi="Calibri" w:cs="Calibri"/>
                <w:lang w:eastAsia="en-GB"/>
              </w:rPr>
              <w:t>270</w:t>
            </w:r>
          </w:p>
        </w:tc>
        <w:tc>
          <w:tcPr>
            <w:tcW w:w="89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3.84%</w:t>
            </w: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64.0%</w:t>
            </w: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r w:rsidRPr="004135C2">
              <w:rPr>
                <w:rFonts w:ascii="Calibri" w:eastAsia="Times New Roman" w:hAnsi="Calibri" w:cs="Calibri"/>
                <w:color w:val="000000"/>
                <w:lang w:eastAsia="en-GB"/>
              </w:rPr>
              <w:t>61.4%</w:t>
            </w: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right"/>
              <w:rPr>
                <w:rFonts w:ascii="Calibri" w:eastAsia="Times New Roman" w:hAnsi="Calibri" w:cs="Calibri"/>
                <w:color w:val="000000"/>
                <w:lang w:eastAsia="en-GB"/>
              </w:rPr>
            </w:pPr>
          </w:p>
        </w:tc>
      </w:tr>
      <w:tr w:rsidR="004135C2" w:rsidRPr="004135C2" w:rsidTr="004135C2">
        <w:trPr>
          <w:trHeight w:val="287"/>
        </w:trPr>
        <w:tc>
          <w:tcPr>
            <w:tcW w:w="1266" w:type="dxa"/>
            <w:tcBorders>
              <w:top w:val="nil"/>
              <w:left w:val="single" w:sz="8" w:space="0" w:color="auto"/>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TOTAL</w:t>
            </w:r>
          </w:p>
        </w:tc>
        <w:tc>
          <w:tcPr>
            <w:tcW w:w="851"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0</w:t>
            </w:r>
          </w:p>
        </w:tc>
        <w:tc>
          <w:tcPr>
            <w:tcW w:w="901"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0</w:t>
            </w:r>
          </w:p>
        </w:tc>
        <w:tc>
          <w:tcPr>
            <w:tcW w:w="851"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406</w:t>
            </w:r>
          </w:p>
        </w:tc>
        <w:tc>
          <w:tcPr>
            <w:tcW w:w="838"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436</w:t>
            </w:r>
          </w:p>
        </w:tc>
        <w:tc>
          <w:tcPr>
            <w:tcW w:w="838"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440</w:t>
            </w:r>
          </w:p>
        </w:tc>
        <w:tc>
          <w:tcPr>
            <w:tcW w:w="976" w:type="dxa"/>
            <w:tcBorders>
              <w:top w:val="nil"/>
              <w:left w:val="nil"/>
              <w:bottom w:val="single" w:sz="8" w:space="0" w:color="auto"/>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440</w:t>
            </w:r>
          </w:p>
        </w:tc>
        <w:tc>
          <w:tcPr>
            <w:tcW w:w="893" w:type="dxa"/>
            <w:tcBorders>
              <w:top w:val="nil"/>
              <w:left w:val="nil"/>
              <w:bottom w:val="nil"/>
              <w:right w:val="single" w:sz="8" w:space="0" w:color="auto"/>
            </w:tcBorders>
            <w:shd w:val="clear" w:color="000000" w:fill="8DB3E2"/>
            <w:noWrap/>
            <w:vAlign w:val="center"/>
            <w:hideMark/>
          </w:tcPr>
          <w:p w:rsidR="004135C2" w:rsidRPr="004135C2" w:rsidRDefault="004135C2" w:rsidP="004135C2">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8.50%</w:t>
            </w:r>
          </w:p>
        </w:tc>
        <w:tc>
          <w:tcPr>
            <w:tcW w:w="798"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jc w:val="center"/>
              <w:rPr>
                <w:rFonts w:ascii="Calibri" w:eastAsia="Times New Roman" w:hAnsi="Calibri" w:cs="Calibri"/>
                <w:b/>
                <w:bCs/>
                <w:lang w:eastAsia="en-GB"/>
              </w:rPr>
            </w:pPr>
          </w:p>
        </w:tc>
        <w:tc>
          <w:tcPr>
            <w:tcW w:w="764"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c>
          <w:tcPr>
            <w:tcW w:w="653" w:type="dxa"/>
            <w:tcBorders>
              <w:top w:val="nil"/>
              <w:left w:val="nil"/>
              <w:bottom w:val="nil"/>
              <w:right w:val="nil"/>
            </w:tcBorders>
            <w:shd w:val="clear" w:color="auto" w:fill="auto"/>
            <w:noWrap/>
            <w:vAlign w:val="bottom"/>
            <w:hideMark/>
          </w:tcPr>
          <w:p w:rsidR="004135C2" w:rsidRPr="004135C2" w:rsidRDefault="004135C2" w:rsidP="004135C2">
            <w:pPr>
              <w:spacing w:after="0" w:line="240" w:lineRule="auto"/>
              <w:rPr>
                <w:rFonts w:ascii="Times New Roman" w:eastAsia="Times New Roman" w:hAnsi="Times New Roman" w:cs="Times New Roman"/>
                <w:sz w:val="20"/>
                <w:szCs w:val="20"/>
                <w:lang w:eastAsia="en-GB"/>
              </w:rPr>
            </w:pPr>
          </w:p>
        </w:tc>
      </w:tr>
    </w:tbl>
    <w:p w:rsidR="003D0BCB" w:rsidRPr="001108D9" w:rsidRDefault="003D0BCB" w:rsidP="002E2103">
      <w:pPr>
        <w:spacing w:after="0"/>
        <w:rPr>
          <w:rFonts w:cstheme="minorHAnsi"/>
          <w:b/>
          <w:color w:val="FF0000"/>
          <w:sz w:val="16"/>
          <w:szCs w:val="16"/>
        </w:rPr>
      </w:pPr>
    </w:p>
    <w:p w:rsidR="00653AFF" w:rsidRPr="001108D9" w:rsidRDefault="00653AFF" w:rsidP="006F059E">
      <w:pPr>
        <w:spacing w:before="240"/>
        <w:rPr>
          <w:rFonts w:ascii="Arial" w:hAnsi="Arial" w:cs="Arial"/>
          <w:color w:val="FF0000"/>
        </w:rPr>
      </w:pPr>
      <w:r w:rsidRPr="00A87940">
        <w:rPr>
          <w:rFonts w:ascii="Arial" w:hAnsi="Arial" w:cs="Arial"/>
        </w:rPr>
        <w:t xml:space="preserve">In the above chart, </w:t>
      </w:r>
      <w:r w:rsidRPr="00A87940">
        <w:rPr>
          <w:rFonts w:ascii="Arial" w:hAnsi="Arial" w:cs="Arial"/>
          <w:b/>
        </w:rPr>
        <w:t>the top pay quartile trends</w:t>
      </w:r>
      <w:r w:rsidRPr="00A87940">
        <w:rPr>
          <w:rFonts w:ascii="Arial" w:hAnsi="Arial" w:cs="Arial"/>
        </w:rPr>
        <w:t xml:space="preserve"> for </w:t>
      </w:r>
      <w:r w:rsidRPr="009D61F7">
        <w:rPr>
          <w:rFonts w:ascii="Arial" w:hAnsi="Arial" w:cs="Arial"/>
        </w:rPr>
        <w:t xml:space="preserve">BH are for the female ratio to decrease and at </w:t>
      </w:r>
      <w:r w:rsidR="004F65D3" w:rsidRPr="009D61F7">
        <w:rPr>
          <w:rFonts w:ascii="Arial" w:hAnsi="Arial" w:cs="Arial"/>
        </w:rPr>
        <w:t xml:space="preserve">LDH </w:t>
      </w:r>
      <w:r w:rsidRPr="009D61F7">
        <w:rPr>
          <w:rFonts w:ascii="Arial" w:hAnsi="Arial" w:cs="Arial"/>
        </w:rPr>
        <w:t xml:space="preserve">for female ratio to increase. The BHFT result is balanced between to the site figures but it is important to know these trends to help address the results even if numbers are relatively small. </w:t>
      </w:r>
    </w:p>
    <w:p w:rsidR="002E2103" w:rsidRPr="004135C2" w:rsidRDefault="007E6D36" w:rsidP="00300CA2">
      <w:pPr>
        <w:spacing w:before="240" w:after="0"/>
        <w:rPr>
          <w:rFonts w:ascii="Arial" w:hAnsi="Arial" w:cs="Arial"/>
          <w:b/>
        </w:rPr>
      </w:pPr>
      <w:r w:rsidRPr="004135C2">
        <w:rPr>
          <w:rFonts w:ascii="Arial" w:hAnsi="Arial" w:cs="Arial"/>
          <w:b/>
        </w:rPr>
        <w:t>W</w:t>
      </w:r>
      <w:r w:rsidR="002E2103" w:rsidRPr="004135C2">
        <w:rPr>
          <w:rFonts w:ascii="Arial" w:hAnsi="Arial" w:cs="Arial"/>
          <w:b/>
        </w:rPr>
        <w:t xml:space="preserve">hat do these results mean for the Trust? </w:t>
      </w:r>
    </w:p>
    <w:tbl>
      <w:tblPr>
        <w:tblW w:w="9308" w:type="dxa"/>
        <w:jc w:val="center"/>
        <w:tblLook w:val="04A0" w:firstRow="1" w:lastRow="0" w:firstColumn="1" w:lastColumn="0" w:noHBand="0" w:noVBand="1"/>
      </w:tblPr>
      <w:tblGrid>
        <w:gridCol w:w="1110"/>
        <w:gridCol w:w="881"/>
        <w:gridCol w:w="764"/>
        <w:gridCol w:w="881"/>
        <w:gridCol w:w="764"/>
        <w:gridCol w:w="912"/>
        <w:gridCol w:w="770"/>
        <w:gridCol w:w="849"/>
        <w:gridCol w:w="764"/>
        <w:gridCol w:w="849"/>
        <w:gridCol w:w="764"/>
      </w:tblGrid>
      <w:tr w:rsidR="00A87940" w:rsidRPr="004135C2" w:rsidTr="00CE38E7">
        <w:trPr>
          <w:trHeight w:val="294"/>
          <w:jc w:val="center"/>
        </w:trPr>
        <w:tc>
          <w:tcPr>
            <w:tcW w:w="6082" w:type="dxa"/>
            <w:gridSpan w:val="7"/>
            <w:tcBorders>
              <w:top w:val="single" w:sz="8" w:space="0" w:color="auto"/>
              <w:left w:val="single" w:sz="8" w:space="0" w:color="auto"/>
              <w:bottom w:val="single" w:sz="8" w:space="0" w:color="auto"/>
              <w:right w:val="single" w:sz="8" w:space="0" w:color="auto"/>
            </w:tcBorders>
            <w:shd w:val="clear" w:color="000000" w:fill="9BC2E6"/>
            <w:noWrap/>
            <w:vAlign w:val="center"/>
            <w:hideMark/>
          </w:tcPr>
          <w:p w:rsidR="00A87940" w:rsidRPr="004135C2" w:rsidRDefault="00A87940" w:rsidP="004F65D3">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Percentage of the Workforce who received a Bonus BY GENDER </w:t>
            </w:r>
          </w:p>
        </w:tc>
        <w:tc>
          <w:tcPr>
            <w:tcW w:w="1613" w:type="dxa"/>
            <w:gridSpan w:val="2"/>
            <w:tcBorders>
              <w:top w:val="single" w:sz="8" w:space="0" w:color="auto"/>
              <w:left w:val="single" w:sz="8" w:space="0" w:color="auto"/>
              <w:bottom w:val="single" w:sz="8" w:space="0" w:color="auto"/>
              <w:right w:val="single" w:sz="8" w:space="0" w:color="auto"/>
            </w:tcBorders>
            <w:shd w:val="clear" w:color="000000" w:fill="9BC2E6"/>
            <w:vAlign w:val="center"/>
          </w:tcPr>
          <w:p w:rsidR="00A87940" w:rsidRPr="004135C2" w:rsidRDefault="00A87940" w:rsidP="004F65D3">
            <w:pPr>
              <w:spacing w:after="0" w:line="240" w:lineRule="auto"/>
              <w:rPr>
                <w:rFonts w:ascii="Calibri" w:eastAsia="Times New Roman" w:hAnsi="Calibri" w:cs="Calibri"/>
                <w:b/>
                <w:bCs/>
                <w:lang w:eastAsia="en-GB"/>
              </w:rPr>
            </w:pPr>
            <w:r>
              <w:rPr>
                <w:rFonts w:ascii="Calibri" w:eastAsia="Times New Roman" w:hAnsi="Calibri" w:cs="Calibri"/>
                <w:b/>
                <w:bCs/>
                <w:lang w:eastAsia="en-GB"/>
              </w:rPr>
              <w:t xml:space="preserve">BHFT 2021 </w:t>
            </w:r>
          </w:p>
        </w:tc>
        <w:tc>
          <w:tcPr>
            <w:tcW w:w="1613" w:type="dxa"/>
            <w:gridSpan w:val="2"/>
            <w:tcBorders>
              <w:top w:val="single" w:sz="8" w:space="0" w:color="auto"/>
              <w:left w:val="single" w:sz="8" w:space="0" w:color="auto"/>
              <w:bottom w:val="single" w:sz="8" w:space="0" w:color="auto"/>
              <w:right w:val="single" w:sz="8" w:space="0" w:color="auto"/>
            </w:tcBorders>
            <w:shd w:val="clear" w:color="000000" w:fill="9BC2E6"/>
          </w:tcPr>
          <w:p w:rsidR="00A87940" w:rsidRPr="00CE38E7" w:rsidRDefault="00A87940" w:rsidP="004F65D3">
            <w:pPr>
              <w:spacing w:after="0" w:line="240" w:lineRule="auto"/>
              <w:rPr>
                <w:rFonts w:ascii="Calibri" w:eastAsia="Times New Roman" w:hAnsi="Calibri" w:cs="Calibri"/>
                <w:b/>
                <w:bCs/>
                <w:lang w:eastAsia="en-GB"/>
              </w:rPr>
            </w:pPr>
            <w:r w:rsidRPr="00CE38E7">
              <w:rPr>
                <w:rFonts w:ascii="Calibri" w:eastAsia="Times New Roman" w:hAnsi="Calibri" w:cs="Calibri"/>
                <w:b/>
                <w:bCs/>
                <w:lang w:eastAsia="en-GB"/>
              </w:rPr>
              <w:t>BHFT 2022</w:t>
            </w:r>
          </w:p>
        </w:tc>
      </w:tr>
      <w:tr w:rsidR="00A87940" w:rsidRPr="004135C2" w:rsidTr="00CE38E7">
        <w:trPr>
          <w:trHeight w:val="547"/>
          <w:jc w:val="center"/>
        </w:trPr>
        <w:tc>
          <w:tcPr>
            <w:tcW w:w="1110" w:type="dxa"/>
            <w:tcBorders>
              <w:top w:val="single" w:sz="8" w:space="0" w:color="auto"/>
              <w:left w:val="single" w:sz="8" w:space="0" w:color="auto"/>
              <w:bottom w:val="single" w:sz="8" w:space="0" w:color="auto"/>
              <w:right w:val="single" w:sz="8" w:space="0" w:color="auto"/>
            </w:tcBorders>
            <w:shd w:val="clear" w:color="000000" w:fill="9BC2E6"/>
            <w:noWrap/>
            <w:vAlign w:val="center"/>
            <w:hideMark/>
          </w:tcPr>
          <w:p w:rsidR="00A87940" w:rsidRPr="004135C2" w:rsidRDefault="00A87940" w:rsidP="00A87940">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 TRUST </w:t>
            </w:r>
          </w:p>
        </w:tc>
        <w:tc>
          <w:tcPr>
            <w:tcW w:w="881" w:type="dxa"/>
            <w:tcBorders>
              <w:top w:val="single" w:sz="8" w:space="0" w:color="auto"/>
              <w:left w:val="nil"/>
              <w:bottom w:val="single" w:sz="8" w:space="0" w:color="auto"/>
              <w:right w:val="single" w:sz="8" w:space="0" w:color="auto"/>
            </w:tcBorders>
            <w:shd w:val="clear" w:color="000000" w:fill="9BC2E6"/>
            <w:vAlign w:val="center"/>
            <w:hideMark/>
          </w:tcPr>
          <w:p w:rsidR="00A87940" w:rsidRPr="004135C2" w:rsidRDefault="00A87940" w:rsidP="00A87940">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 Female 2017 </w:t>
            </w:r>
          </w:p>
        </w:tc>
        <w:tc>
          <w:tcPr>
            <w:tcW w:w="764" w:type="dxa"/>
            <w:tcBorders>
              <w:top w:val="single" w:sz="8" w:space="0" w:color="auto"/>
              <w:left w:val="nil"/>
              <w:bottom w:val="single" w:sz="8" w:space="0" w:color="auto"/>
              <w:right w:val="single" w:sz="8" w:space="0" w:color="auto"/>
            </w:tcBorders>
            <w:shd w:val="clear" w:color="000000" w:fill="9BC2E6"/>
            <w:vAlign w:val="center"/>
            <w:hideMark/>
          </w:tcPr>
          <w:p w:rsidR="00A87940" w:rsidRPr="004135C2" w:rsidRDefault="00A87940" w:rsidP="00A87940">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 Male 2017 </w:t>
            </w:r>
          </w:p>
        </w:tc>
        <w:tc>
          <w:tcPr>
            <w:tcW w:w="881" w:type="dxa"/>
            <w:tcBorders>
              <w:top w:val="single" w:sz="8" w:space="0" w:color="auto"/>
              <w:left w:val="nil"/>
              <w:bottom w:val="single" w:sz="8" w:space="0" w:color="auto"/>
              <w:right w:val="single" w:sz="8" w:space="0" w:color="auto"/>
            </w:tcBorders>
            <w:shd w:val="clear" w:color="000000" w:fill="9BC2E6"/>
            <w:vAlign w:val="center"/>
            <w:hideMark/>
          </w:tcPr>
          <w:p w:rsidR="00A87940" w:rsidRPr="004135C2" w:rsidRDefault="00A87940" w:rsidP="00A87940">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Female 2020</w:t>
            </w:r>
          </w:p>
        </w:tc>
        <w:tc>
          <w:tcPr>
            <w:tcW w:w="764" w:type="dxa"/>
            <w:tcBorders>
              <w:top w:val="single" w:sz="8" w:space="0" w:color="auto"/>
              <w:left w:val="nil"/>
              <w:bottom w:val="single" w:sz="8" w:space="0" w:color="auto"/>
              <w:right w:val="single" w:sz="8" w:space="0" w:color="auto"/>
            </w:tcBorders>
            <w:shd w:val="clear" w:color="000000" w:fill="9BC2E6"/>
            <w:vAlign w:val="center"/>
            <w:hideMark/>
          </w:tcPr>
          <w:p w:rsidR="00A87940" w:rsidRPr="004135C2" w:rsidRDefault="00A87940" w:rsidP="00A87940">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Male 2020</w:t>
            </w:r>
          </w:p>
        </w:tc>
        <w:tc>
          <w:tcPr>
            <w:tcW w:w="912" w:type="dxa"/>
            <w:tcBorders>
              <w:top w:val="single" w:sz="8" w:space="0" w:color="auto"/>
              <w:left w:val="nil"/>
              <w:bottom w:val="single" w:sz="8" w:space="0" w:color="auto"/>
              <w:right w:val="single" w:sz="8" w:space="0" w:color="auto"/>
            </w:tcBorders>
            <w:shd w:val="clear" w:color="000000" w:fill="9BC2E6"/>
            <w:vAlign w:val="center"/>
            <w:hideMark/>
          </w:tcPr>
          <w:p w:rsidR="00A87940" w:rsidRPr="004135C2" w:rsidRDefault="00A87940" w:rsidP="00A87940">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Female 2021</w:t>
            </w:r>
          </w:p>
        </w:tc>
        <w:tc>
          <w:tcPr>
            <w:tcW w:w="770" w:type="dxa"/>
            <w:tcBorders>
              <w:top w:val="single" w:sz="8" w:space="0" w:color="auto"/>
              <w:left w:val="nil"/>
              <w:bottom w:val="single" w:sz="8" w:space="0" w:color="auto"/>
              <w:right w:val="single" w:sz="8" w:space="0" w:color="auto"/>
            </w:tcBorders>
            <w:shd w:val="clear" w:color="000000" w:fill="9BC2E6"/>
            <w:vAlign w:val="center"/>
            <w:hideMark/>
          </w:tcPr>
          <w:p w:rsidR="00A87940" w:rsidRPr="004135C2" w:rsidRDefault="00A87940" w:rsidP="00A87940">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Male 2021</w:t>
            </w:r>
          </w:p>
        </w:tc>
        <w:tc>
          <w:tcPr>
            <w:tcW w:w="849" w:type="dxa"/>
            <w:tcBorders>
              <w:top w:val="single" w:sz="8" w:space="0" w:color="auto"/>
              <w:left w:val="nil"/>
              <w:bottom w:val="single" w:sz="8" w:space="0" w:color="auto"/>
              <w:right w:val="single" w:sz="8" w:space="0" w:color="auto"/>
            </w:tcBorders>
            <w:shd w:val="clear" w:color="auto" w:fill="8DB3E2" w:themeFill="text2" w:themeFillTint="66"/>
          </w:tcPr>
          <w:p w:rsidR="00A87940" w:rsidRPr="004135C2" w:rsidRDefault="00A87940" w:rsidP="00A87940">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female</w:t>
            </w:r>
          </w:p>
        </w:tc>
        <w:tc>
          <w:tcPr>
            <w:tcW w:w="764" w:type="dxa"/>
            <w:tcBorders>
              <w:top w:val="single" w:sz="8" w:space="0" w:color="auto"/>
              <w:left w:val="nil"/>
              <w:bottom w:val="single" w:sz="8" w:space="0" w:color="auto"/>
              <w:right w:val="single" w:sz="8" w:space="0" w:color="auto"/>
            </w:tcBorders>
            <w:shd w:val="clear" w:color="auto" w:fill="8DB3E2" w:themeFill="text2" w:themeFillTint="66"/>
          </w:tcPr>
          <w:p w:rsidR="00A87940" w:rsidRPr="004135C2" w:rsidRDefault="00A87940" w:rsidP="00A87940">
            <w:pPr>
              <w:spacing w:after="0" w:line="240" w:lineRule="auto"/>
              <w:rPr>
                <w:rFonts w:ascii="Calibri" w:eastAsia="Times New Roman" w:hAnsi="Calibri" w:cs="Calibri"/>
                <w:b/>
                <w:bCs/>
                <w:lang w:eastAsia="en-GB"/>
              </w:rPr>
            </w:pPr>
            <w:r>
              <w:rPr>
                <w:rFonts w:ascii="Calibri" w:eastAsia="Times New Roman" w:hAnsi="Calibri" w:cs="Calibri"/>
                <w:b/>
                <w:bCs/>
                <w:lang w:eastAsia="en-GB"/>
              </w:rPr>
              <w:t xml:space="preserve">% Male </w:t>
            </w:r>
          </w:p>
        </w:tc>
        <w:tc>
          <w:tcPr>
            <w:tcW w:w="849" w:type="dxa"/>
            <w:tcBorders>
              <w:top w:val="single" w:sz="8" w:space="0" w:color="auto"/>
              <w:left w:val="nil"/>
              <w:bottom w:val="single" w:sz="8" w:space="0" w:color="auto"/>
              <w:right w:val="single" w:sz="8" w:space="0" w:color="auto"/>
            </w:tcBorders>
            <w:shd w:val="clear" w:color="auto" w:fill="8DB3E2" w:themeFill="text2" w:themeFillTint="66"/>
          </w:tcPr>
          <w:p w:rsidR="00A87940" w:rsidRPr="00CE38E7" w:rsidRDefault="00A87940" w:rsidP="00A87940">
            <w:pPr>
              <w:spacing w:after="0" w:line="240" w:lineRule="auto"/>
              <w:rPr>
                <w:rFonts w:ascii="Calibri" w:eastAsia="Times New Roman" w:hAnsi="Calibri" w:cs="Calibri"/>
                <w:b/>
                <w:bCs/>
                <w:lang w:eastAsia="en-GB"/>
              </w:rPr>
            </w:pPr>
            <w:r w:rsidRPr="00CE38E7">
              <w:rPr>
                <w:rFonts w:ascii="Calibri" w:eastAsia="Times New Roman" w:hAnsi="Calibri" w:cs="Calibri"/>
                <w:b/>
                <w:bCs/>
                <w:lang w:eastAsia="en-GB"/>
              </w:rPr>
              <w:t>% female</w:t>
            </w:r>
          </w:p>
        </w:tc>
        <w:tc>
          <w:tcPr>
            <w:tcW w:w="764" w:type="dxa"/>
            <w:tcBorders>
              <w:top w:val="single" w:sz="8" w:space="0" w:color="auto"/>
              <w:left w:val="nil"/>
              <w:bottom w:val="single" w:sz="8" w:space="0" w:color="auto"/>
              <w:right w:val="single" w:sz="8" w:space="0" w:color="auto"/>
            </w:tcBorders>
            <w:shd w:val="clear" w:color="auto" w:fill="8DB3E2" w:themeFill="text2" w:themeFillTint="66"/>
          </w:tcPr>
          <w:p w:rsidR="00A87940" w:rsidRPr="00CE38E7" w:rsidRDefault="00A87940" w:rsidP="00A87940">
            <w:pPr>
              <w:spacing w:after="0" w:line="240" w:lineRule="auto"/>
              <w:rPr>
                <w:rFonts w:ascii="Calibri" w:eastAsia="Times New Roman" w:hAnsi="Calibri" w:cs="Calibri"/>
                <w:b/>
                <w:bCs/>
                <w:lang w:eastAsia="en-GB"/>
              </w:rPr>
            </w:pPr>
            <w:r w:rsidRPr="00CE38E7">
              <w:rPr>
                <w:rFonts w:ascii="Calibri" w:eastAsia="Times New Roman" w:hAnsi="Calibri" w:cs="Calibri"/>
                <w:b/>
                <w:bCs/>
                <w:lang w:eastAsia="en-GB"/>
              </w:rPr>
              <w:t xml:space="preserve">% Male </w:t>
            </w:r>
          </w:p>
        </w:tc>
      </w:tr>
      <w:tr w:rsidR="00A87940" w:rsidRPr="004135C2" w:rsidTr="00CE38E7">
        <w:trPr>
          <w:trHeight w:val="189"/>
          <w:jc w:val="center"/>
        </w:trPr>
        <w:tc>
          <w:tcPr>
            <w:tcW w:w="1110" w:type="dxa"/>
            <w:tcBorders>
              <w:top w:val="single" w:sz="8" w:space="0" w:color="auto"/>
              <w:left w:val="single" w:sz="8" w:space="0" w:color="auto"/>
              <w:bottom w:val="single" w:sz="8" w:space="0" w:color="auto"/>
              <w:right w:val="single" w:sz="8" w:space="0" w:color="auto"/>
            </w:tcBorders>
            <w:shd w:val="clear" w:color="000000" w:fill="9BC2E6"/>
            <w:noWrap/>
            <w:vAlign w:val="center"/>
            <w:hideMark/>
          </w:tcPr>
          <w:p w:rsidR="00A87940" w:rsidRPr="004135C2" w:rsidRDefault="00A87940" w:rsidP="00A87940">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LDH </w:t>
            </w:r>
          </w:p>
        </w:tc>
        <w:tc>
          <w:tcPr>
            <w:tcW w:w="881" w:type="dxa"/>
            <w:tcBorders>
              <w:top w:val="single" w:sz="8" w:space="0" w:color="auto"/>
              <w:left w:val="nil"/>
              <w:bottom w:val="single" w:sz="8" w:space="0" w:color="auto"/>
              <w:right w:val="single" w:sz="8" w:space="0" w:color="auto"/>
            </w:tcBorders>
            <w:shd w:val="clear" w:color="000000" w:fill="DDEBF7"/>
            <w:noWrap/>
            <w:vAlign w:val="center"/>
            <w:hideMark/>
          </w:tcPr>
          <w:p w:rsidR="00A87940" w:rsidRPr="004135C2" w:rsidRDefault="00A87940" w:rsidP="00A87940">
            <w:pPr>
              <w:spacing w:after="0" w:line="240" w:lineRule="auto"/>
              <w:jc w:val="right"/>
              <w:rPr>
                <w:rFonts w:ascii="Calibri" w:eastAsia="Times New Roman" w:hAnsi="Calibri" w:cs="Calibri"/>
                <w:lang w:eastAsia="en-GB"/>
              </w:rPr>
            </w:pPr>
            <w:r w:rsidRPr="004135C2">
              <w:rPr>
                <w:rFonts w:ascii="Calibri" w:eastAsia="Times New Roman" w:hAnsi="Calibri" w:cs="Calibri"/>
                <w:lang w:eastAsia="en-GB"/>
              </w:rPr>
              <w:t>0.50%</w:t>
            </w:r>
          </w:p>
        </w:tc>
        <w:tc>
          <w:tcPr>
            <w:tcW w:w="764" w:type="dxa"/>
            <w:tcBorders>
              <w:top w:val="single" w:sz="8" w:space="0" w:color="auto"/>
              <w:left w:val="nil"/>
              <w:bottom w:val="single" w:sz="8" w:space="0" w:color="auto"/>
              <w:right w:val="single" w:sz="8" w:space="0" w:color="auto"/>
            </w:tcBorders>
            <w:shd w:val="clear" w:color="000000" w:fill="DDEBF7"/>
            <w:noWrap/>
            <w:vAlign w:val="center"/>
            <w:hideMark/>
          </w:tcPr>
          <w:p w:rsidR="00A87940" w:rsidRPr="004135C2" w:rsidRDefault="00A87940" w:rsidP="00A87940">
            <w:pPr>
              <w:spacing w:after="0" w:line="240" w:lineRule="auto"/>
              <w:jc w:val="right"/>
              <w:rPr>
                <w:rFonts w:ascii="Calibri" w:eastAsia="Times New Roman" w:hAnsi="Calibri" w:cs="Calibri"/>
                <w:lang w:eastAsia="en-GB"/>
              </w:rPr>
            </w:pPr>
            <w:r w:rsidRPr="004135C2">
              <w:rPr>
                <w:rFonts w:ascii="Calibri" w:eastAsia="Times New Roman" w:hAnsi="Calibri" w:cs="Calibri"/>
                <w:lang w:eastAsia="en-GB"/>
              </w:rPr>
              <w:t>5.50%</w:t>
            </w:r>
          </w:p>
        </w:tc>
        <w:tc>
          <w:tcPr>
            <w:tcW w:w="881" w:type="dxa"/>
            <w:tcBorders>
              <w:top w:val="single" w:sz="8" w:space="0" w:color="auto"/>
              <w:left w:val="nil"/>
              <w:bottom w:val="single" w:sz="8" w:space="0" w:color="auto"/>
              <w:right w:val="single" w:sz="8" w:space="0" w:color="auto"/>
            </w:tcBorders>
            <w:shd w:val="clear" w:color="000000" w:fill="DDEBF7"/>
            <w:noWrap/>
            <w:vAlign w:val="center"/>
            <w:hideMark/>
          </w:tcPr>
          <w:p w:rsidR="00A87940" w:rsidRPr="004135C2" w:rsidRDefault="00A87940" w:rsidP="00A87940">
            <w:pPr>
              <w:spacing w:after="0" w:line="240" w:lineRule="auto"/>
              <w:jc w:val="right"/>
              <w:rPr>
                <w:rFonts w:ascii="Calibri" w:eastAsia="Times New Roman" w:hAnsi="Calibri" w:cs="Calibri"/>
                <w:lang w:eastAsia="en-GB"/>
              </w:rPr>
            </w:pPr>
            <w:r w:rsidRPr="004135C2">
              <w:rPr>
                <w:rFonts w:ascii="Calibri" w:eastAsia="Times New Roman" w:hAnsi="Calibri" w:cs="Calibri"/>
                <w:lang w:eastAsia="en-GB"/>
              </w:rPr>
              <w:t>0.90%</w:t>
            </w:r>
          </w:p>
        </w:tc>
        <w:tc>
          <w:tcPr>
            <w:tcW w:w="764" w:type="dxa"/>
            <w:tcBorders>
              <w:top w:val="single" w:sz="8" w:space="0" w:color="auto"/>
              <w:left w:val="nil"/>
              <w:bottom w:val="single" w:sz="8" w:space="0" w:color="auto"/>
              <w:right w:val="single" w:sz="8" w:space="0" w:color="auto"/>
            </w:tcBorders>
            <w:shd w:val="clear" w:color="000000" w:fill="DDEBF7"/>
            <w:noWrap/>
            <w:vAlign w:val="center"/>
            <w:hideMark/>
          </w:tcPr>
          <w:p w:rsidR="00A87940" w:rsidRPr="004135C2" w:rsidRDefault="00A87940" w:rsidP="00A87940">
            <w:pPr>
              <w:spacing w:after="0" w:line="240" w:lineRule="auto"/>
              <w:jc w:val="right"/>
              <w:rPr>
                <w:rFonts w:ascii="Calibri" w:eastAsia="Times New Roman" w:hAnsi="Calibri" w:cs="Calibri"/>
                <w:lang w:eastAsia="en-GB"/>
              </w:rPr>
            </w:pPr>
            <w:r w:rsidRPr="004135C2">
              <w:rPr>
                <w:rFonts w:ascii="Calibri" w:eastAsia="Times New Roman" w:hAnsi="Calibri" w:cs="Calibri"/>
                <w:lang w:eastAsia="en-GB"/>
              </w:rPr>
              <w:t>4.90%</w:t>
            </w:r>
          </w:p>
        </w:tc>
        <w:tc>
          <w:tcPr>
            <w:tcW w:w="912" w:type="dxa"/>
            <w:tcBorders>
              <w:top w:val="single" w:sz="8" w:space="0" w:color="auto"/>
              <w:left w:val="nil"/>
              <w:bottom w:val="single" w:sz="8" w:space="0" w:color="auto"/>
              <w:right w:val="single" w:sz="8" w:space="0" w:color="auto"/>
            </w:tcBorders>
            <w:shd w:val="clear" w:color="000000" w:fill="DDEBF7"/>
            <w:noWrap/>
            <w:vAlign w:val="center"/>
            <w:hideMark/>
          </w:tcPr>
          <w:p w:rsidR="00A87940" w:rsidRPr="004135C2" w:rsidRDefault="00A87940" w:rsidP="00A87940">
            <w:pPr>
              <w:spacing w:after="0" w:line="240" w:lineRule="auto"/>
              <w:jc w:val="right"/>
              <w:rPr>
                <w:rFonts w:ascii="Calibri" w:eastAsia="Times New Roman" w:hAnsi="Calibri" w:cs="Calibri"/>
                <w:lang w:eastAsia="en-GB"/>
              </w:rPr>
            </w:pPr>
            <w:r w:rsidRPr="004135C2">
              <w:rPr>
                <w:rFonts w:ascii="Calibri" w:eastAsia="Times New Roman" w:hAnsi="Calibri" w:cs="Calibri"/>
                <w:lang w:eastAsia="en-GB"/>
              </w:rPr>
              <w:t>0.95%</w:t>
            </w:r>
          </w:p>
        </w:tc>
        <w:tc>
          <w:tcPr>
            <w:tcW w:w="770" w:type="dxa"/>
            <w:tcBorders>
              <w:top w:val="single" w:sz="8" w:space="0" w:color="auto"/>
              <w:left w:val="nil"/>
              <w:bottom w:val="single" w:sz="8" w:space="0" w:color="auto"/>
              <w:right w:val="single" w:sz="8" w:space="0" w:color="auto"/>
            </w:tcBorders>
            <w:shd w:val="clear" w:color="000000" w:fill="DDEBF7"/>
            <w:noWrap/>
            <w:vAlign w:val="center"/>
            <w:hideMark/>
          </w:tcPr>
          <w:p w:rsidR="00A87940" w:rsidRPr="004135C2" w:rsidRDefault="00A87940" w:rsidP="00A87940">
            <w:pPr>
              <w:spacing w:after="0" w:line="240" w:lineRule="auto"/>
              <w:jc w:val="right"/>
              <w:rPr>
                <w:rFonts w:ascii="Calibri" w:eastAsia="Times New Roman" w:hAnsi="Calibri" w:cs="Calibri"/>
                <w:lang w:eastAsia="en-GB"/>
              </w:rPr>
            </w:pPr>
            <w:r w:rsidRPr="004135C2">
              <w:rPr>
                <w:rFonts w:ascii="Calibri" w:eastAsia="Times New Roman" w:hAnsi="Calibri" w:cs="Calibri"/>
                <w:lang w:eastAsia="en-GB"/>
              </w:rPr>
              <w:t>5.68%</w:t>
            </w:r>
          </w:p>
        </w:tc>
        <w:tc>
          <w:tcPr>
            <w:tcW w:w="849" w:type="dxa"/>
            <w:vMerge w:val="restart"/>
            <w:tcBorders>
              <w:top w:val="single" w:sz="8" w:space="0" w:color="auto"/>
              <w:left w:val="nil"/>
              <w:bottom w:val="single" w:sz="8" w:space="0" w:color="auto"/>
              <w:right w:val="single" w:sz="8" w:space="0" w:color="auto"/>
            </w:tcBorders>
            <w:shd w:val="clear" w:color="auto" w:fill="8DB3E2" w:themeFill="text2" w:themeFillTint="66"/>
            <w:vAlign w:val="center"/>
          </w:tcPr>
          <w:p w:rsidR="00A87940" w:rsidRPr="004135C2" w:rsidRDefault="00A87940" w:rsidP="00A87940">
            <w:pPr>
              <w:spacing w:after="0" w:line="240" w:lineRule="auto"/>
              <w:jc w:val="right"/>
              <w:rPr>
                <w:rFonts w:ascii="Calibri" w:eastAsia="Times New Roman" w:hAnsi="Calibri" w:cs="Calibri"/>
                <w:lang w:eastAsia="en-GB"/>
              </w:rPr>
            </w:pPr>
            <w:r w:rsidRPr="004135C2">
              <w:rPr>
                <w:rFonts w:ascii="Calibri" w:eastAsia="Times New Roman" w:hAnsi="Calibri" w:cs="Calibri"/>
                <w:lang w:eastAsia="en-GB"/>
              </w:rPr>
              <w:t>0.63%</w:t>
            </w:r>
          </w:p>
        </w:tc>
        <w:tc>
          <w:tcPr>
            <w:tcW w:w="764" w:type="dxa"/>
            <w:vMerge w:val="restart"/>
            <w:tcBorders>
              <w:top w:val="single" w:sz="8" w:space="0" w:color="auto"/>
              <w:left w:val="nil"/>
              <w:bottom w:val="single" w:sz="8" w:space="0" w:color="auto"/>
              <w:right w:val="single" w:sz="8" w:space="0" w:color="auto"/>
            </w:tcBorders>
            <w:shd w:val="clear" w:color="auto" w:fill="8DB3E2" w:themeFill="text2" w:themeFillTint="66"/>
            <w:vAlign w:val="center"/>
          </w:tcPr>
          <w:p w:rsidR="00A87940" w:rsidRPr="004135C2" w:rsidRDefault="00A87940" w:rsidP="00A87940">
            <w:pPr>
              <w:spacing w:after="0" w:line="240" w:lineRule="auto"/>
              <w:jc w:val="right"/>
              <w:rPr>
                <w:rFonts w:ascii="Calibri" w:eastAsia="Times New Roman" w:hAnsi="Calibri" w:cs="Calibri"/>
                <w:lang w:eastAsia="en-GB"/>
              </w:rPr>
            </w:pPr>
            <w:r w:rsidRPr="004135C2">
              <w:rPr>
                <w:rFonts w:ascii="Calibri" w:eastAsia="Times New Roman" w:hAnsi="Calibri" w:cs="Calibri"/>
                <w:lang w:eastAsia="en-GB"/>
              </w:rPr>
              <w:t>4.58%</w:t>
            </w:r>
          </w:p>
        </w:tc>
        <w:tc>
          <w:tcPr>
            <w:tcW w:w="849" w:type="dxa"/>
            <w:vMerge w:val="restart"/>
            <w:tcBorders>
              <w:top w:val="single" w:sz="8" w:space="0" w:color="auto"/>
              <w:left w:val="nil"/>
              <w:right w:val="single" w:sz="8" w:space="0" w:color="auto"/>
            </w:tcBorders>
            <w:shd w:val="clear" w:color="auto" w:fill="8DB3E2" w:themeFill="text2" w:themeFillTint="66"/>
            <w:vAlign w:val="center"/>
          </w:tcPr>
          <w:p w:rsidR="00A87940" w:rsidRPr="00CE38E7" w:rsidRDefault="00CE38E7" w:rsidP="00A87940">
            <w:pPr>
              <w:spacing w:after="0" w:line="240" w:lineRule="auto"/>
              <w:jc w:val="right"/>
              <w:rPr>
                <w:rFonts w:ascii="Calibri" w:eastAsia="Times New Roman" w:hAnsi="Calibri" w:cs="Calibri"/>
                <w:lang w:eastAsia="en-GB"/>
              </w:rPr>
            </w:pPr>
            <w:r w:rsidRPr="00CE38E7">
              <w:rPr>
                <w:rFonts w:ascii="Calibri" w:eastAsia="Times New Roman" w:hAnsi="Calibri" w:cs="Calibri"/>
                <w:lang w:eastAsia="en-GB"/>
              </w:rPr>
              <w:t>0.61%</w:t>
            </w:r>
          </w:p>
        </w:tc>
        <w:tc>
          <w:tcPr>
            <w:tcW w:w="764" w:type="dxa"/>
            <w:vMerge w:val="restart"/>
            <w:tcBorders>
              <w:top w:val="single" w:sz="8" w:space="0" w:color="auto"/>
              <w:left w:val="nil"/>
              <w:right w:val="single" w:sz="8" w:space="0" w:color="auto"/>
            </w:tcBorders>
            <w:shd w:val="clear" w:color="auto" w:fill="8DB3E2" w:themeFill="text2" w:themeFillTint="66"/>
            <w:vAlign w:val="center"/>
          </w:tcPr>
          <w:p w:rsidR="00A87940" w:rsidRPr="00CE38E7" w:rsidRDefault="00CE38E7" w:rsidP="00A87940">
            <w:pPr>
              <w:spacing w:after="0" w:line="240" w:lineRule="auto"/>
              <w:jc w:val="right"/>
              <w:rPr>
                <w:rFonts w:ascii="Calibri" w:eastAsia="Times New Roman" w:hAnsi="Calibri" w:cs="Calibri"/>
                <w:lang w:eastAsia="en-GB"/>
              </w:rPr>
            </w:pPr>
            <w:r w:rsidRPr="00CE38E7">
              <w:rPr>
                <w:rFonts w:ascii="Calibri" w:eastAsia="Times New Roman" w:hAnsi="Calibri" w:cs="Calibri"/>
                <w:lang w:eastAsia="en-GB"/>
              </w:rPr>
              <w:t>4.19%</w:t>
            </w:r>
          </w:p>
        </w:tc>
      </w:tr>
      <w:tr w:rsidR="00A87940" w:rsidRPr="004135C2" w:rsidTr="00CE38E7">
        <w:trPr>
          <w:trHeight w:val="321"/>
          <w:jc w:val="center"/>
        </w:trPr>
        <w:tc>
          <w:tcPr>
            <w:tcW w:w="1110" w:type="dxa"/>
            <w:tcBorders>
              <w:top w:val="single" w:sz="8" w:space="0" w:color="auto"/>
              <w:left w:val="single" w:sz="8" w:space="0" w:color="auto"/>
              <w:bottom w:val="single" w:sz="8" w:space="0" w:color="auto"/>
              <w:right w:val="single" w:sz="8" w:space="0" w:color="auto"/>
            </w:tcBorders>
            <w:shd w:val="clear" w:color="000000" w:fill="9BC2E6"/>
            <w:noWrap/>
            <w:vAlign w:val="center"/>
            <w:hideMark/>
          </w:tcPr>
          <w:p w:rsidR="00A87940" w:rsidRPr="004135C2" w:rsidRDefault="00A87940" w:rsidP="00A87940">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 xml:space="preserve">BEDFORD </w:t>
            </w:r>
          </w:p>
        </w:tc>
        <w:tc>
          <w:tcPr>
            <w:tcW w:w="881" w:type="dxa"/>
            <w:tcBorders>
              <w:top w:val="single" w:sz="8" w:space="0" w:color="auto"/>
              <w:left w:val="nil"/>
              <w:bottom w:val="single" w:sz="8" w:space="0" w:color="auto"/>
              <w:right w:val="single" w:sz="8" w:space="0" w:color="auto"/>
            </w:tcBorders>
            <w:shd w:val="clear" w:color="000000" w:fill="DDEBF7"/>
            <w:noWrap/>
            <w:vAlign w:val="center"/>
            <w:hideMark/>
          </w:tcPr>
          <w:p w:rsidR="00A87940" w:rsidRPr="004135C2" w:rsidRDefault="00A87940" w:rsidP="00A87940">
            <w:pPr>
              <w:spacing w:after="0" w:line="240" w:lineRule="auto"/>
              <w:jc w:val="right"/>
              <w:rPr>
                <w:rFonts w:ascii="Calibri" w:eastAsia="Times New Roman" w:hAnsi="Calibri" w:cs="Calibri"/>
                <w:lang w:eastAsia="en-GB"/>
              </w:rPr>
            </w:pPr>
            <w:r w:rsidRPr="004135C2">
              <w:rPr>
                <w:rFonts w:ascii="Calibri" w:eastAsia="Times New Roman" w:hAnsi="Calibri" w:cs="Calibri"/>
                <w:lang w:eastAsia="en-GB"/>
              </w:rPr>
              <w:t>0.50%</w:t>
            </w:r>
          </w:p>
        </w:tc>
        <w:tc>
          <w:tcPr>
            <w:tcW w:w="764" w:type="dxa"/>
            <w:tcBorders>
              <w:top w:val="single" w:sz="8" w:space="0" w:color="auto"/>
              <w:left w:val="nil"/>
              <w:bottom w:val="single" w:sz="8" w:space="0" w:color="auto"/>
              <w:right w:val="single" w:sz="8" w:space="0" w:color="auto"/>
            </w:tcBorders>
            <w:shd w:val="clear" w:color="000000" w:fill="DDEBF7"/>
            <w:noWrap/>
            <w:vAlign w:val="center"/>
            <w:hideMark/>
          </w:tcPr>
          <w:p w:rsidR="00A87940" w:rsidRPr="004135C2" w:rsidRDefault="00A87940" w:rsidP="00A87940">
            <w:pPr>
              <w:spacing w:after="0" w:line="240" w:lineRule="auto"/>
              <w:jc w:val="right"/>
              <w:rPr>
                <w:rFonts w:ascii="Calibri" w:eastAsia="Times New Roman" w:hAnsi="Calibri" w:cs="Calibri"/>
                <w:lang w:eastAsia="en-GB"/>
              </w:rPr>
            </w:pPr>
            <w:r w:rsidRPr="004135C2">
              <w:rPr>
                <w:rFonts w:ascii="Calibri" w:eastAsia="Times New Roman" w:hAnsi="Calibri" w:cs="Calibri"/>
                <w:lang w:eastAsia="en-GB"/>
              </w:rPr>
              <w:t>5.00%</w:t>
            </w:r>
          </w:p>
        </w:tc>
        <w:tc>
          <w:tcPr>
            <w:tcW w:w="881" w:type="dxa"/>
            <w:tcBorders>
              <w:top w:val="single" w:sz="8" w:space="0" w:color="auto"/>
              <w:left w:val="nil"/>
              <w:bottom w:val="single" w:sz="8" w:space="0" w:color="auto"/>
              <w:right w:val="single" w:sz="8" w:space="0" w:color="auto"/>
            </w:tcBorders>
            <w:shd w:val="clear" w:color="000000" w:fill="DDEBF7"/>
            <w:noWrap/>
            <w:vAlign w:val="center"/>
            <w:hideMark/>
          </w:tcPr>
          <w:p w:rsidR="00A87940" w:rsidRPr="004135C2" w:rsidRDefault="00A87940" w:rsidP="00A87940">
            <w:pPr>
              <w:spacing w:after="0" w:line="240" w:lineRule="auto"/>
              <w:jc w:val="right"/>
              <w:rPr>
                <w:rFonts w:ascii="Calibri" w:eastAsia="Times New Roman" w:hAnsi="Calibri" w:cs="Calibri"/>
                <w:lang w:eastAsia="en-GB"/>
              </w:rPr>
            </w:pPr>
            <w:r w:rsidRPr="004135C2">
              <w:rPr>
                <w:rFonts w:ascii="Calibri" w:eastAsia="Times New Roman" w:hAnsi="Calibri" w:cs="Calibri"/>
                <w:lang w:eastAsia="en-GB"/>
              </w:rPr>
              <w:t>0.50%</w:t>
            </w:r>
          </w:p>
        </w:tc>
        <w:tc>
          <w:tcPr>
            <w:tcW w:w="764" w:type="dxa"/>
            <w:tcBorders>
              <w:top w:val="single" w:sz="8" w:space="0" w:color="auto"/>
              <w:left w:val="nil"/>
              <w:bottom w:val="single" w:sz="8" w:space="0" w:color="auto"/>
              <w:right w:val="single" w:sz="8" w:space="0" w:color="auto"/>
            </w:tcBorders>
            <w:shd w:val="clear" w:color="000000" w:fill="DDEBF7"/>
            <w:noWrap/>
            <w:vAlign w:val="center"/>
            <w:hideMark/>
          </w:tcPr>
          <w:p w:rsidR="00A87940" w:rsidRPr="004135C2" w:rsidRDefault="00A87940" w:rsidP="00A87940">
            <w:pPr>
              <w:spacing w:after="0" w:line="240" w:lineRule="auto"/>
              <w:jc w:val="right"/>
              <w:rPr>
                <w:rFonts w:ascii="Calibri" w:eastAsia="Times New Roman" w:hAnsi="Calibri" w:cs="Calibri"/>
                <w:lang w:eastAsia="en-GB"/>
              </w:rPr>
            </w:pPr>
            <w:r w:rsidRPr="004135C2">
              <w:rPr>
                <w:rFonts w:ascii="Calibri" w:eastAsia="Times New Roman" w:hAnsi="Calibri" w:cs="Calibri"/>
                <w:lang w:eastAsia="en-GB"/>
              </w:rPr>
              <w:t>4.90%</w:t>
            </w:r>
          </w:p>
        </w:tc>
        <w:tc>
          <w:tcPr>
            <w:tcW w:w="912" w:type="dxa"/>
            <w:tcBorders>
              <w:top w:val="single" w:sz="8" w:space="0" w:color="auto"/>
              <w:left w:val="nil"/>
              <w:bottom w:val="single" w:sz="8" w:space="0" w:color="auto"/>
              <w:right w:val="single" w:sz="8" w:space="0" w:color="auto"/>
            </w:tcBorders>
            <w:shd w:val="clear" w:color="000000" w:fill="DDEBF7"/>
            <w:noWrap/>
            <w:vAlign w:val="center"/>
            <w:hideMark/>
          </w:tcPr>
          <w:p w:rsidR="00A87940" w:rsidRPr="004135C2" w:rsidRDefault="00A87940" w:rsidP="00A87940">
            <w:pPr>
              <w:spacing w:after="0" w:line="240" w:lineRule="auto"/>
              <w:jc w:val="right"/>
              <w:rPr>
                <w:rFonts w:ascii="Calibri" w:eastAsia="Times New Roman" w:hAnsi="Calibri" w:cs="Calibri"/>
                <w:lang w:eastAsia="en-GB"/>
              </w:rPr>
            </w:pPr>
            <w:r w:rsidRPr="004135C2">
              <w:rPr>
                <w:rFonts w:ascii="Calibri" w:eastAsia="Times New Roman" w:hAnsi="Calibri" w:cs="Calibri"/>
                <w:lang w:eastAsia="en-GB"/>
              </w:rPr>
              <w:t>0.32%</w:t>
            </w:r>
          </w:p>
        </w:tc>
        <w:tc>
          <w:tcPr>
            <w:tcW w:w="770" w:type="dxa"/>
            <w:tcBorders>
              <w:top w:val="single" w:sz="8" w:space="0" w:color="auto"/>
              <w:left w:val="nil"/>
              <w:bottom w:val="single" w:sz="8" w:space="0" w:color="auto"/>
              <w:right w:val="single" w:sz="8" w:space="0" w:color="auto"/>
            </w:tcBorders>
            <w:shd w:val="clear" w:color="000000" w:fill="DDEBF7"/>
            <w:noWrap/>
            <w:vAlign w:val="center"/>
            <w:hideMark/>
          </w:tcPr>
          <w:p w:rsidR="00A87940" w:rsidRPr="004135C2" w:rsidRDefault="00A87940" w:rsidP="00A87940">
            <w:pPr>
              <w:spacing w:after="0" w:line="240" w:lineRule="auto"/>
              <w:jc w:val="right"/>
              <w:rPr>
                <w:rFonts w:ascii="Calibri" w:eastAsia="Times New Roman" w:hAnsi="Calibri" w:cs="Calibri"/>
                <w:lang w:eastAsia="en-GB"/>
              </w:rPr>
            </w:pPr>
            <w:r w:rsidRPr="004135C2">
              <w:rPr>
                <w:rFonts w:ascii="Calibri" w:eastAsia="Times New Roman" w:hAnsi="Calibri" w:cs="Calibri"/>
                <w:lang w:eastAsia="en-GB"/>
              </w:rPr>
              <w:t>4.27%</w:t>
            </w:r>
          </w:p>
        </w:tc>
        <w:tc>
          <w:tcPr>
            <w:tcW w:w="849" w:type="dxa"/>
            <w:vMerge/>
            <w:tcBorders>
              <w:top w:val="single" w:sz="8" w:space="0" w:color="auto"/>
              <w:left w:val="nil"/>
              <w:bottom w:val="single" w:sz="8" w:space="0" w:color="auto"/>
              <w:right w:val="single" w:sz="8" w:space="0" w:color="auto"/>
            </w:tcBorders>
            <w:shd w:val="clear" w:color="auto" w:fill="8DB3E2" w:themeFill="text2" w:themeFillTint="66"/>
          </w:tcPr>
          <w:p w:rsidR="00A87940" w:rsidRPr="004135C2" w:rsidRDefault="00A87940" w:rsidP="00A87940">
            <w:pPr>
              <w:spacing w:after="0" w:line="240" w:lineRule="auto"/>
              <w:jc w:val="right"/>
              <w:rPr>
                <w:rFonts w:ascii="Calibri" w:eastAsia="Times New Roman" w:hAnsi="Calibri" w:cs="Calibri"/>
                <w:lang w:eastAsia="en-GB"/>
              </w:rPr>
            </w:pPr>
          </w:p>
        </w:tc>
        <w:tc>
          <w:tcPr>
            <w:tcW w:w="764" w:type="dxa"/>
            <w:vMerge/>
            <w:tcBorders>
              <w:top w:val="single" w:sz="8" w:space="0" w:color="auto"/>
              <w:left w:val="nil"/>
              <w:bottom w:val="single" w:sz="8" w:space="0" w:color="auto"/>
              <w:right w:val="single" w:sz="8" w:space="0" w:color="auto"/>
            </w:tcBorders>
            <w:shd w:val="clear" w:color="auto" w:fill="8DB3E2" w:themeFill="text2" w:themeFillTint="66"/>
          </w:tcPr>
          <w:p w:rsidR="00A87940" w:rsidRPr="004135C2" w:rsidRDefault="00A87940" w:rsidP="00A87940">
            <w:pPr>
              <w:spacing w:after="0" w:line="240" w:lineRule="auto"/>
              <w:jc w:val="right"/>
              <w:rPr>
                <w:rFonts w:ascii="Calibri" w:eastAsia="Times New Roman" w:hAnsi="Calibri" w:cs="Calibri"/>
                <w:lang w:eastAsia="en-GB"/>
              </w:rPr>
            </w:pPr>
          </w:p>
        </w:tc>
        <w:tc>
          <w:tcPr>
            <w:tcW w:w="849" w:type="dxa"/>
            <w:vMerge/>
            <w:tcBorders>
              <w:left w:val="nil"/>
              <w:bottom w:val="single" w:sz="8" w:space="0" w:color="auto"/>
              <w:right w:val="single" w:sz="8" w:space="0" w:color="auto"/>
            </w:tcBorders>
            <w:shd w:val="clear" w:color="auto" w:fill="8DB3E2" w:themeFill="text2" w:themeFillTint="66"/>
          </w:tcPr>
          <w:p w:rsidR="00A87940" w:rsidRPr="004135C2" w:rsidRDefault="00A87940" w:rsidP="00A87940">
            <w:pPr>
              <w:spacing w:after="0" w:line="240" w:lineRule="auto"/>
              <w:jc w:val="right"/>
              <w:rPr>
                <w:rFonts w:ascii="Calibri" w:eastAsia="Times New Roman" w:hAnsi="Calibri" w:cs="Calibri"/>
                <w:lang w:eastAsia="en-GB"/>
              </w:rPr>
            </w:pPr>
          </w:p>
        </w:tc>
        <w:tc>
          <w:tcPr>
            <w:tcW w:w="764" w:type="dxa"/>
            <w:vMerge/>
            <w:tcBorders>
              <w:left w:val="nil"/>
              <w:bottom w:val="single" w:sz="8" w:space="0" w:color="auto"/>
              <w:right w:val="single" w:sz="8" w:space="0" w:color="auto"/>
            </w:tcBorders>
            <w:shd w:val="clear" w:color="auto" w:fill="8DB3E2" w:themeFill="text2" w:themeFillTint="66"/>
          </w:tcPr>
          <w:p w:rsidR="00A87940" w:rsidRPr="004135C2" w:rsidRDefault="00A87940" w:rsidP="00A87940">
            <w:pPr>
              <w:spacing w:after="0" w:line="240" w:lineRule="auto"/>
              <w:jc w:val="right"/>
              <w:rPr>
                <w:rFonts w:ascii="Calibri" w:eastAsia="Times New Roman" w:hAnsi="Calibri" w:cs="Calibri"/>
                <w:lang w:eastAsia="en-GB"/>
              </w:rPr>
            </w:pPr>
          </w:p>
        </w:tc>
      </w:tr>
    </w:tbl>
    <w:p w:rsidR="00CE38E7" w:rsidRDefault="00CE38E7" w:rsidP="0049649A">
      <w:pPr>
        <w:spacing w:after="0" w:line="240" w:lineRule="auto"/>
        <w:rPr>
          <w:rFonts w:ascii="Arial" w:hAnsi="Arial" w:cs="Arial"/>
          <w:b/>
          <w:color w:val="FF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B23666" w:rsidRDefault="0049649A" w:rsidP="009D61F7">
      <w:pPr>
        <w:spacing w:after="0" w:line="240" w:lineRule="auto"/>
        <w:rPr>
          <w:rFonts w:ascii="Arial" w:hAnsi="Arial" w:cs="Arial"/>
        </w:rPr>
      </w:pPr>
      <w:r w:rsidRPr="009D61F7">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Note - The bonus data submitted under the regulations includes all staff even Bank and so for BHFT in 2021 this totals 9546 staff. Relevant staff for Ordinary Pay Gap reporting totals 8273. This impacts the data results. </w:t>
      </w:r>
      <w:r w:rsidR="009D61F7" w:rsidRPr="009D61F7">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same applies to 2022 data.</w:t>
      </w:r>
      <w:r w:rsidR="009D61F7">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9D61F7">
        <w:rPr>
          <w:rFonts w:ascii="Arial" w:hAnsi="Arial" w:cs="Arial"/>
        </w:rPr>
        <w:t xml:space="preserve">From the charts above, as only consultants receive a bonus it means that proportionally only 1.5% of the 9546 workforce </w:t>
      </w:r>
      <w:r w:rsidR="00B23666" w:rsidRPr="009D61F7">
        <w:rPr>
          <w:rFonts w:ascii="Arial" w:hAnsi="Arial" w:cs="Arial"/>
        </w:rPr>
        <w:t xml:space="preserve">(Including Bank) receive a bonus of which 0.63% are female and 5.41% are male. </w:t>
      </w:r>
    </w:p>
    <w:p w:rsidR="00C744F4" w:rsidRPr="009D61F7" w:rsidRDefault="00A308BC" w:rsidP="00AC5717">
      <w:pPr>
        <w:spacing w:before="240"/>
        <w:rPr>
          <w:rFonts w:ascii="Arial" w:hAnsi="Arial" w:cs="Arial"/>
        </w:rPr>
      </w:pPr>
      <w:r w:rsidRPr="009D61F7">
        <w:rPr>
          <w:rFonts w:ascii="Arial" w:hAnsi="Arial" w:cs="Arial"/>
        </w:rPr>
        <w:t xml:space="preserve">This has </w:t>
      </w:r>
      <w:r w:rsidR="003E5E6A" w:rsidRPr="009D61F7">
        <w:rPr>
          <w:rFonts w:ascii="Arial" w:hAnsi="Arial" w:cs="Arial"/>
        </w:rPr>
        <w:t xml:space="preserve">contributed to the </w:t>
      </w:r>
      <w:r w:rsidRPr="009D61F7">
        <w:rPr>
          <w:rFonts w:ascii="Arial" w:hAnsi="Arial" w:cs="Arial"/>
        </w:rPr>
        <w:t>high mean and median Pay Gap for females.</w:t>
      </w:r>
      <w:r w:rsidR="00A01AE6" w:rsidRPr="009D61F7">
        <w:rPr>
          <w:rFonts w:ascii="Arial" w:hAnsi="Arial" w:cs="Arial"/>
        </w:rPr>
        <w:t xml:space="preserve"> </w:t>
      </w:r>
    </w:p>
    <w:p w:rsidR="009A7D73" w:rsidRPr="009D61F7" w:rsidRDefault="00B23666" w:rsidP="00B23666">
      <w:pPr>
        <w:rPr>
          <w:rFonts w:ascii="Arial" w:hAnsi="Arial" w:cs="Arial"/>
        </w:rPr>
      </w:pPr>
      <w:r w:rsidRPr="009D61F7">
        <w:rPr>
          <w:rFonts w:ascii="Arial" w:hAnsi="Arial" w:cs="Arial"/>
        </w:rPr>
        <w:t>BHFT 202</w:t>
      </w:r>
      <w:r w:rsidR="009D61F7">
        <w:rPr>
          <w:rFonts w:ascii="Arial" w:hAnsi="Arial" w:cs="Arial"/>
        </w:rPr>
        <w:t>2</w:t>
      </w:r>
      <w:r w:rsidRPr="009D61F7">
        <w:rPr>
          <w:rFonts w:ascii="Arial" w:hAnsi="Arial" w:cs="Arial"/>
        </w:rPr>
        <w:t xml:space="preserve"> </w:t>
      </w:r>
      <w:r w:rsidR="00A67935" w:rsidRPr="009D61F7">
        <w:rPr>
          <w:rFonts w:ascii="Arial" w:hAnsi="Arial" w:cs="Arial"/>
        </w:rPr>
        <w:t>mean bo</w:t>
      </w:r>
      <w:r w:rsidR="006E36BF" w:rsidRPr="009D61F7">
        <w:rPr>
          <w:rFonts w:ascii="Arial" w:hAnsi="Arial" w:cs="Arial"/>
        </w:rPr>
        <w:t xml:space="preserve">nus </w:t>
      </w:r>
      <w:r w:rsidR="00A67935" w:rsidRPr="009D61F7">
        <w:rPr>
          <w:rFonts w:ascii="Arial" w:hAnsi="Arial" w:cs="Arial"/>
        </w:rPr>
        <w:t xml:space="preserve">pay gap is </w:t>
      </w:r>
      <w:r w:rsidR="009D61F7">
        <w:rPr>
          <w:rFonts w:ascii="Arial" w:hAnsi="Arial" w:cs="Arial"/>
        </w:rPr>
        <w:t>19.2</w:t>
      </w:r>
      <w:r w:rsidRPr="009D61F7">
        <w:rPr>
          <w:rFonts w:ascii="Arial" w:hAnsi="Arial" w:cs="Arial"/>
        </w:rPr>
        <w:t xml:space="preserve">% and the median bonus pay gap is 33.33%. </w:t>
      </w:r>
      <w:r w:rsidR="006E36BF" w:rsidRPr="009D61F7">
        <w:rPr>
          <w:rFonts w:ascii="Arial" w:hAnsi="Arial" w:cs="Arial"/>
        </w:rPr>
        <w:t xml:space="preserve">The median result is often considered to be more representative of the bonus gap. However it is </w:t>
      </w:r>
      <w:r w:rsidRPr="009D61F7">
        <w:rPr>
          <w:rFonts w:ascii="Arial" w:hAnsi="Arial" w:cs="Arial"/>
        </w:rPr>
        <w:t xml:space="preserve">usually </w:t>
      </w:r>
      <w:r w:rsidR="006E36BF" w:rsidRPr="009D61F7">
        <w:rPr>
          <w:rFonts w:ascii="Arial" w:hAnsi="Arial" w:cs="Arial"/>
        </w:rPr>
        <w:t xml:space="preserve">the mean result that accounts for small numbers of higher paid employees that could skew the result. </w:t>
      </w:r>
    </w:p>
    <w:p w:rsidR="00F639D8" w:rsidRPr="009D61F7" w:rsidRDefault="00A02E9C" w:rsidP="00B23666">
      <w:pPr>
        <w:rPr>
          <w:rFonts w:ascii="Arial" w:hAnsi="Arial" w:cs="Arial"/>
          <w:b/>
        </w:rPr>
      </w:pPr>
      <w:r w:rsidRPr="009D61F7">
        <w:rPr>
          <w:rFonts w:ascii="Arial" w:hAnsi="Arial" w:cs="Arial"/>
          <w:b/>
        </w:rPr>
        <w:t>Medical consultants</w:t>
      </w:r>
      <w:r w:rsidR="009A7D73" w:rsidRPr="009D61F7">
        <w:rPr>
          <w:rFonts w:ascii="Arial" w:hAnsi="Arial" w:cs="Arial"/>
          <w:b/>
        </w:rPr>
        <w:t xml:space="preserve"> BHFT</w:t>
      </w:r>
    </w:p>
    <w:tbl>
      <w:tblPr>
        <w:tblW w:w="9629" w:type="dxa"/>
        <w:tblInd w:w="-5" w:type="dxa"/>
        <w:tblLayout w:type="fixed"/>
        <w:tblLook w:val="04A0" w:firstRow="1" w:lastRow="0" w:firstColumn="1" w:lastColumn="0" w:noHBand="0" w:noVBand="1"/>
      </w:tblPr>
      <w:tblGrid>
        <w:gridCol w:w="1301"/>
        <w:gridCol w:w="957"/>
        <w:gridCol w:w="661"/>
        <w:gridCol w:w="757"/>
        <w:gridCol w:w="802"/>
        <w:gridCol w:w="851"/>
        <w:gridCol w:w="850"/>
        <w:gridCol w:w="899"/>
        <w:gridCol w:w="2551"/>
      </w:tblGrid>
      <w:tr w:rsidR="00922FAA" w:rsidRPr="004135C2" w:rsidTr="00922FAA">
        <w:trPr>
          <w:trHeight w:val="39"/>
        </w:trPr>
        <w:tc>
          <w:tcPr>
            <w:tcW w:w="2919" w:type="dxa"/>
            <w:gridSpan w:val="3"/>
            <w:tcBorders>
              <w:top w:val="double" w:sz="4" w:space="0" w:color="auto"/>
              <w:left w:val="double" w:sz="4" w:space="0" w:color="auto"/>
              <w:bottom w:val="double" w:sz="4" w:space="0" w:color="auto"/>
              <w:right w:val="double" w:sz="4" w:space="0" w:color="auto"/>
            </w:tcBorders>
            <w:shd w:val="clear" w:color="auto" w:fill="95B3D7" w:themeFill="accent1" w:themeFillTint="99"/>
            <w:noWrap/>
            <w:vAlign w:val="bottom"/>
            <w:hideMark/>
          </w:tcPr>
          <w:p w:rsidR="00922FAA" w:rsidRPr="004135C2" w:rsidRDefault="00922FAA" w:rsidP="00166456">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Medical staff number 2021</w:t>
            </w:r>
          </w:p>
        </w:tc>
        <w:tc>
          <w:tcPr>
            <w:tcW w:w="757" w:type="dxa"/>
            <w:vMerge w:val="restart"/>
            <w:tcBorders>
              <w:top w:val="single" w:sz="4" w:space="0" w:color="auto"/>
              <w:left w:val="double" w:sz="4" w:space="0" w:color="auto"/>
              <w:bottom w:val="single" w:sz="4" w:space="0" w:color="auto"/>
              <w:right w:val="single" w:sz="4" w:space="0" w:color="auto"/>
            </w:tcBorders>
            <w:shd w:val="clear" w:color="auto" w:fill="B8CCE4" w:themeFill="accent1" w:themeFillTint="66"/>
            <w:vAlign w:val="center"/>
            <w:hideMark/>
          </w:tcPr>
          <w:p w:rsidR="00922FAA" w:rsidRPr="004135C2" w:rsidRDefault="00922FAA" w:rsidP="00166456">
            <w:pPr>
              <w:spacing w:after="0" w:line="240" w:lineRule="auto"/>
              <w:rPr>
                <w:rFonts w:ascii="Arial" w:eastAsia="Times New Roman" w:hAnsi="Arial" w:cs="Arial"/>
                <w:b/>
                <w:bCs/>
                <w:sz w:val="20"/>
                <w:szCs w:val="20"/>
                <w:lang w:eastAsia="en-GB"/>
              </w:rPr>
            </w:pPr>
            <w:r w:rsidRPr="004135C2">
              <w:rPr>
                <w:rFonts w:ascii="Arial" w:eastAsia="Times New Roman" w:hAnsi="Arial" w:cs="Arial"/>
                <w:b/>
                <w:bCs/>
                <w:sz w:val="20"/>
                <w:szCs w:val="20"/>
                <w:lang w:eastAsia="en-GB"/>
              </w:rPr>
              <w:t>Total</w:t>
            </w:r>
          </w:p>
        </w:tc>
        <w:tc>
          <w:tcPr>
            <w:tcW w:w="802"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922FAA" w:rsidRPr="004135C2" w:rsidRDefault="00922FAA" w:rsidP="00166456">
            <w:pPr>
              <w:spacing w:after="0" w:line="240" w:lineRule="auto"/>
              <w:jc w:val="center"/>
              <w:rPr>
                <w:rFonts w:ascii="Arial" w:eastAsia="Times New Roman" w:hAnsi="Arial" w:cs="Arial"/>
                <w:b/>
                <w:bCs/>
                <w:sz w:val="20"/>
                <w:szCs w:val="20"/>
                <w:lang w:eastAsia="en-GB"/>
              </w:rPr>
            </w:pPr>
            <w:r w:rsidRPr="004135C2">
              <w:rPr>
                <w:rFonts w:ascii="Arial" w:eastAsia="Times New Roman" w:hAnsi="Arial" w:cs="Arial"/>
                <w:b/>
                <w:bCs/>
                <w:sz w:val="20"/>
                <w:szCs w:val="20"/>
                <w:lang w:eastAsia="en-GB"/>
              </w:rPr>
              <w:t>Mean pay gap</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bottom"/>
            <w:hideMark/>
          </w:tcPr>
          <w:p w:rsidR="00922FAA" w:rsidRPr="004135C2" w:rsidRDefault="00922FAA" w:rsidP="00166456">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Diff in hourly pay</w:t>
            </w:r>
          </w:p>
        </w:tc>
        <w:tc>
          <w:tcPr>
            <w:tcW w:w="1749"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22FAA" w:rsidRPr="004135C2" w:rsidRDefault="00922FAA" w:rsidP="00166456">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Medical Staff %</w:t>
            </w:r>
          </w:p>
        </w:tc>
        <w:tc>
          <w:tcPr>
            <w:tcW w:w="2551" w:type="dxa"/>
            <w:vMerge w:val="restart"/>
            <w:tcBorders>
              <w:top w:val="single" w:sz="4" w:space="0" w:color="auto"/>
              <w:left w:val="nil"/>
            </w:tcBorders>
            <w:shd w:val="clear" w:color="auto" w:fill="DBE5F1" w:themeFill="accent1" w:themeFillTint="33"/>
          </w:tcPr>
          <w:p w:rsidR="00922FAA" w:rsidRDefault="00922FAA" w:rsidP="00DD100A">
            <w:pPr>
              <w:spacing w:after="0" w:line="240" w:lineRule="auto"/>
              <w:rPr>
                <w:rFonts w:ascii="Calibri" w:eastAsia="Times New Roman" w:hAnsi="Calibri" w:cs="Calibri"/>
                <w:bCs/>
                <w:lang w:eastAsia="en-GB"/>
              </w:rPr>
            </w:pPr>
            <w:r>
              <w:rPr>
                <w:rFonts w:ascii="Calibri" w:eastAsia="Times New Roman" w:hAnsi="Calibri" w:cs="Calibri"/>
                <w:bCs/>
                <w:lang w:eastAsia="en-GB"/>
              </w:rPr>
              <w:t>There are 38 more medical staff in Y/E 2022 (a 3.6% increase). From this female increased by 25 (5.7%) and male by 13 (2.1%).</w:t>
            </w:r>
          </w:p>
          <w:p w:rsidR="00922FAA" w:rsidRDefault="00922FAA" w:rsidP="00DD100A">
            <w:pPr>
              <w:spacing w:after="0" w:line="240" w:lineRule="auto"/>
              <w:rPr>
                <w:rFonts w:ascii="Calibri" w:eastAsia="Times New Roman" w:hAnsi="Calibri" w:cs="Calibri"/>
                <w:bCs/>
                <w:lang w:eastAsia="en-GB"/>
              </w:rPr>
            </w:pPr>
            <w:r>
              <w:rPr>
                <w:rFonts w:ascii="Calibri" w:eastAsia="Times New Roman" w:hAnsi="Calibri" w:cs="Calibri"/>
                <w:bCs/>
                <w:lang w:eastAsia="en-GB"/>
              </w:rPr>
              <w:t>At consultant level the increase was 19 staff or 4.3% and from this female grew by 10 (5.9%) and Male by 9 (3.33%)</w:t>
            </w:r>
          </w:p>
          <w:p w:rsidR="00922FAA" w:rsidRPr="001E3D8F" w:rsidRDefault="00922FAA" w:rsidP="00CE38E7">
            <w:pPr>
              <w:spacing w:after="0" w:line="240" w:lineRule="auto"/>
              <w:rPr>
                <w:rFonts w:ascii="Calibri" w:eastAsia="Times New Roman" w:hAnsi="Calibri" w:cs="Calibri"/>
                <w:bCs/>
                <w:lang w:eastAsia="en-GB"/>
              </w:rPr>
            </w:pPr>
            <w:r>
              <w:rPr>
                <w:rFonts w:ascii="Calibri" w:eastAsia="Times New Roman" w:hAnsi="Calibri" w:cs="Calibri"/>
                <w:bCs/>
                <w:lang w:eastAsia="en-GB"/>
              </w:rPr>
              <w:t>A good increase but the split is still not representative of the female workforce -</w:t>
            </w:r>
          </w:p>
        </w:tc>
      </w:tr>
      <w:tr w:rsidR="00922FAA" w:rsidRPr="004135C2" w:rsidTr="00922FAA">
        <w:trPr>
          <w:trHeight w:val="354"/>
        </w:trPr>
        <w:tc>
          <w:tcPr>
            <w:tcW w:w="1301" w:type="dxa"/>
            <w:tcBorders>
              <w:top w:val="doub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22FAA" w:rsidRPr="004135C2" w:rsidRDefault="00922FAA" w:rsidP="00166456">
            <w:pPr>
              <w:spacing w:after="0" w:line="240" w:lineRule="auto"/>
              <w:ind w:right="1029"/>
              <w:rPr>
                <w:rFonts w:ascii="Arial" w:eastAsia="Times New Roman" w:hAnsi="Arial" w:cs="Arial"/>
                <w:b/>
                <w:bCs/>
                <w:sz w:val="20"/>
                <w:szCs w:val="20"/>
                <w:lang w:eastAsia="en-GB"/>
              </w:rPr>
            </w:pPr>
            <w:r w:rsidRPr="004135C2">
              <w:rPr>
                <w:rFonts w:ascii="Arial" w:eastAsia="Times New Roman" w:hAnsi="Arial" w:cs="Arial"/>
                <w:b/>
                <w:bCs/>
                <w:sz w:val="20"/>
                <w:szCs w:val="20"/>
                <w:lang w:eastAsia="en-GB"/>
              </w:rPr>
              <w:t> </w:t>
            </w:r>
          </w:p>
        </w:tc>
        <w:tc>
          <w:tcPr>
            <w:tcW w:w="957" w:type="dxa"/>
            <w:tcBorders>
              <w:top w:val="double" w:sz="4" w:space="0" w:color="auto"/>
              <w:left w:val="nil"/>
              <w:bottom w:val="single" w:sz="4" w:space="0" w:color="auto"/>
              <w:right w:val="single" w:sz="4" w:space="0" w:color="auto"/>
            </w:tcBorders>
            <w:shd w:val="clear" w:color="auto" w:fill="B8CCE4" w:themeFill="accent1" w:themeFillTint="66"/>
            <w:vAlign w:val="center"/>
            <w:hideMark/>
          </w:tcPr>
          <w:p w:rsidR="00922FAA" w:rsidRPr="004135C2" w:rsidRDefault="00922FAA" w:rsidP="004135C2">
            <w:pPr>
              <w:spacing w:after="0" w:line="240" w:lineRule="auto"/>
              <w:rPr>
                <w:rFonts w:ascii="Arial" w:eastAsia="Times New Roman" w:hAnsi="Arial" w:cs="Arial"/>
                <w:b/>
                <w:bCs/>
                <w:sz w:val="20"/>
                <w:szCs w:val="20"/>
                <w:lang w:eastAsia="en-GB"/>
              </w:rPr>
            </w:pPr>
            <w:r w:rsidRPr="004135C2">
              <w:rPr>
                <w:rFonts w:ascii="Arial" w:eastAsia="Times New Roman" w:hAnsi="Arial" w:cs="Arial"/>
                <w:b/>
                <w:bCs/>
                <w:sz w:val="20"/>
                <w:szCs w:val="20"/>
                <w:lang w:eastAsia="en-GB"/>
              </w:rPr>
              <w:t xml:space="preserve">Female </w:t>
            </w:r>
          </w:p>
        </w:tc>
        <w:tc>
          <w:tcPr>
            <w:tcW w:w="661" w:type="dxa"/>
            <w:tcBorders>
              <w:top w:val="double" w:sz="4" w:space="0" w:color="auto"/>
              <w:left w:val="nil"/>
              <w:bottom w:val="single" w:sz="4" w:space="0" w:color="auto"/>
              <w:right w:val="single" w:sz="4" w:space="0" w:color="auto"/>
            </w:tcBorders>
            <w:shd w:val="clear" w:color="auto" w:fill="B8CCE4" w:themeFill="accent1" w:themeFillTint="66"/>
            <w:vAlign w:val="center"/>
            <w:hideMark/>
          </w:tcPr>
          <w:p w:rsidR="00922FAA" w:rsidRPr="004135C2" w:rsidRDefault="00922FAA" w:rsidP="00166456">
            <w:pPr>
              <w:spacing w:after="0" w:line="240" w:lineRule="auto"/>
              <w:jc w:val="right"/>
              <w:rPr>
                <w:rFonts w:ascii="Arial" w:eastAsia="Times New Roman" w:hAnsi="Arial" w:cs="Arial"/>
                <w:b/>
                <w:bCs/>
                <w:sz w:val="20"/>
                <w:szCs w:val="20"/>
                <w:lang w:eastAsia="en-GB"/>
              </w:rPr>
            </w:pPr>
            <w:r w:rsidRPr="004135C2">
              <w:rPr>
                <w:rFonts w:ascii="Arial" w:eastAsia="Times New Roman" w:hAnsi="Arial" w:cs="Arial"/>
                <w:b/>
                <w:bCs/>
                <w:sz w:val="20"/>
                <w:szCs w:val="20"/>
                <w:lang w:eastAsia="en-GB"/>
              </w:rPr>
              <w:t xml:space="preserve">Male </w:t>
            </w:r>
          </w:p>
        </w:tc>
        <w:tc>
          <w:tcPr>
            <w:tcW w:w="75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22FAA" w:rsidRPr="004135C2" w:rsidRDefault="00922FAA" w:rsidP="00166456">
            <w:pPr>
              <w:spacing w:after="0" w:line="240" w:lineRule="auto"/>
              <w:rPr>
                <w:rFonts w:ascii="Arial" w:eastAsia="Times New Roman" w:hAnsi="Arial" w:cs="Arial"/>
                <w:b/>
                <w:bCs/>
                <w:sz w:val="20"/>
                <w:szCs w:val="20"/>
                <w:lang w:eastAsia="en-GB"/>
              </w:rPr>
            </w:pPr>
          </w:p>
        </w:tc>
        <w:tc>
          <w:tcPr>
            <w:tcW w:w="802"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922FAA" w:rsidRPr="004135C2" w:rsidRDefault="00922FAA" w:rsidP="00166456">
            <w:pPr>
              <w:spacing w:after="0" w:line="240" w:lineRule="auto"/>
              <w:rPr>
                <w:rFonts w:ascii="Arial" w:eastAsia="Times New Roman" w:hAnsi="Arial" w:cs="Arial"/>
                <w:b/>
                <w:bCs/>
                <w:sz w:val="20"/>
                <w:szCs w:val="20"/>
                <w:lang w:eastAsia="en-GB"/>
              </w:rPr>
            </w:pPr>
          </w:p>
        </w:tc>
        <w:tc>
          <w:tcPr>
            <w:tcW w:w="851"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922FAA" w:rsidRPr="004135C2" w:rsidRDefault="00922FAA" w:rsidP="00166456">
            <w:pPr>
              <w:spacing w:after="0" w:line="240" w:lineRule="auto"/>
              <w:rPr>
                <w:rFonts w:ascii="Calibri" w:eastAsia="Times New Roman" w:hAnsi="Calibri" w:cs="Calibri"/>
                <w:b/>
                <w:bCs/>
                <w:lang w:eastAsia="en-GB"/>
              </w:rPr>
            </w:pPr>
          </w:p>
        </w:tc>
        <w:tc>
          <w:tcPr>
            <w:tcW w:w="850" w:type="dxa"/>
            <w:tcBorders>
              <w:top w:val="nil"/>
              <w:left w:val="nil"/>
              <w:bottom w:val="single" w:sz="4" w:space="0" w:color="auto"/>
              <w:right w:val="single" w:sz="4" w:space="0" w:color="auto"/>
            </w:tcBorders>
            <w:shd w:val="clear" w:color="auto" w:fill="B8CCE4" w:themeFill="accent1" w:themeFillTint="66"/>
            <w:noWrap/>
            <w:vAlign w:val="bottom"/>
            <w:hideMark/>
          </w:tcPr>
          <w:p w:rsidR="00922FAA" w:rsidRPr="004135C2" w:rsidRDefault="00922FAA" w:rsidP="00166456">
            <w:pPr>
              <w:spacing w:after="0" w:line="240" w:lineRule="auto"/>
              <w:rPr>
                <w:rFonts w:ascii="Arial" w:eastAsia="Times New Roman" w:hAnsi="Arial" w:cs="Arial"/>
                <w:b/>
                <w:bCs/>
                <w:sz w:val="20"/>
                <w:szCs w:val="20"/>
                <w:lang w:eastAsia="en-GB"/>
              </w:rPr>
            </w:pPr>
            <w:r w:rsidRPr="004135C2">
              <w:rPr>
                <w:rFonts w:ascii="Arial" w:eastAsia="Times New Roman" w:hAnsi="Arial" w:cs="Arial"/>
                <w:b/>
                <w:bCs/>
                <w:sz w:val="20"/>
                <w:szCs w:val="20"/>
                <w:lang w:eastAsia="en-GB"/>
              </w:rPr>
              <w:t xml:space="preserve">female % </w:t>
            </w:r>
          </w:p>
        </w:tc>
        <w:tc>
          <w:tcPr>
            <w:tcW w:w="899" w:type="dxa"/>
            <w:tcBorders>
              <w:top w:val="nil"/>
              <w:left w:val="nil"/>
              <w:bottom w:val="single" w:sz="4" w:space="0" w:color="auto"/>
              <w:right w:val="single" w:sz="4" w:space="0" w:color="auto"/>
            </w:tcBorders>
            <w:shd w:val="clear" w:color="auto" w:fill="B8CCE4" w:themeFill="accent1" w:themeFillTint="66"/>
            <w:noWrap/>
            <w:vAlign w:val="bottom"/>
            <w:hideMark/>
          </w:tcPr>
          <w:p w:rsidR="00922FAA" w:rsidRPr="004135C2" w:rsidRDefault="00922FAA" w:rsidP="00166456">
            <w:pPr>
              <w:spacing w:after="0" w:line="240" w:lineRule="auto"/>
              <w:rPr>
                <w:rFonts w:ascii="Arial" w:eastAsia="Times New Roman" w:hAnsi="Arial" w:cs="Arial"/>
                <w:b/>
                <w:bCs/>
                <w:sz w:val="20"/>
                <w:szCs w:val="20"/>
                <w:lang w:eastAsia="en-GB"/>
              </w:rPr>
            </w:pPr>
            <w:r w:rsidRPr="004135C2">
              <w:rPr>
                <w:rFonts w:ascii="Arial" w:eastAsia="Times New Roman" w:hAnsi="Arial" w:cs="Arial"/>
                <w:b/>
                <w:bCs/>
                <w:sz w:val="20"/>
                <w:szCs w:val="20"/>
                <w:lang w:eastAsia="en-GB"/>
              </w:rPr>
              <w:t xml:space="preserve">male % </w:t>
            </w:r>
          </w:p>
        </w:tc>
        <w:tc>
          <w:tcPr>
            <w:tcW w:w="2551" w:type="dxa"/>
            <w:vMerge/>
            <w:tcBorders>
              <w:left w:val="nil"/>
            </w:tcBorders>
            <w:shd w:val="clear" w:color="auto" w:fill="DBE5F1" w:themeFill="accent1" w:themeFillTint="33"/>
          </w:tcPr>
          <w:p w:rsidR="00922FAA" w:rsidRPr="004135C2" w:rsidRDefault="00922FAA" w:rsidP="00166456">
            <w:pPr>
              <w:spacing w:after="0" w:line="240" w:lineRule="auto"/>
              <w:rPr>
                <w:rFonts w:ascii="Arial" w:eastAsia="Times New Roman" w:hAnsi="Arial" w:cs="Arial"/>
                <w:b/>
                <w:bCs/>
                <w:sz w:val="20"/>
                <w:szCs w:val="20"/>
                <w:lang w:eastAsia="en-GB"/>
              </w:rPr>
            </w:pPr>
          </w:p>
        </w:tc>
      </w:tr>
      <w:tr w:rsidR="00922FAA" w:rsidRPr="004135C2" w:rsidTr="00922FAA">
        <w:trPr>
          <w:trHeight w:val="327"/>
        </w:trPr>
        <w:tc>
          <w:tcPr>
            <w:tcW w:w="13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2FAA" w:rsidRPr="004135C2" w:rsidRDefault="00922FAA" w:rsidP="00166456">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Pr="004135C2">
              <w:rPr>
                <w:rFonts w:ascii="Arial" w:eastAsia="Times New Roman" w:hAnsi="Arial" w:cs="Arial"/>
                <w:b/>
                <w:bCs/>
                <w:sz w:val="20"/>
                <w:szCs w:val="20"/>
                <w:lang w:eastAsia="en-GB"/>
              </w:rPr>
              <w:t>Junior</w:t>
            </w:r>
          </w:p>
        </w:tc>
        <w:tc>
          <w:tcPr>
            <w:tcW w:w="957" w:type="dxa"/>
            <w:tcBorders>
              <w:top w:val="nil"/>
              <w:left w:val="nil"/>
              <w:bottom w:val="single" w:sz="4" w:space="0" w:color="auto"/>
              <w:right w:val="single" w:sz="4" w:space="0" w:color="auto"/>
            </w:tcBorders>
            <w:shd w:val="clear" w:color="000000" w:fill="FFFFFF"/>
            <w:vAlign w:val="center"/>
            <w:hideMark/>
          </w:tcPr>
          <w:p w:rsidR="00922FAA" w:rsidRPr="004135C2" w:rsidRDefault="00922FAA" w:rsidP="00166456">
            <w:pPr>
              <w:spacing w:after="0" w:line="240" w:lineRule="auto"/>
              <w:jc w:val="right"/>
              <w:rPr>
                <w:rFonts w:ascii="Arial" w:eastAsia="Times New Roman" w:hAnsi="Arial" w:cs="Arial"/>
                <w:sz w:val="20"/>
                <w:szCs w:val="20"/>
                <w:lang w:eastAsia="en-GB"/>
              </w:rPr>
            </w:pPr>
            <w:r w:rsidRPr="004135C2">
              <w:rPr>
                <w:rFonts w:ascii="Arial" w:eastAsia="Times New Roman" w:hAnsi="Arial" w:cs="Arial"/>
                <w:sz w:val="20"/>
                <w:szCs w:val="20"/>
                <w:lang w:eastAsia="en-GB"/>
              </w:rPr>
              <w:t>232</w:t>
            </w:r>
          </w:p>
        </w:tc>
        <w:tc>
          <w:tcPr>
            <w:tcW w:w="661" w:type="dxa"/>
            <w:tcBorders>
              <w:top w:val="nil"/>
              <w:left w:val="nil"/>
              <w:bottom w:val="single" w:sz="4" w:space="0" w:color="auto"/>
              <w:right w:val="single" w:sz="4" w:space="0" w:color="auto"/>
            </w:tcBorders>
            <w:shd w:val="clear" w:color="000000" w:fill="FFFFFF"/>
            <w:vAlign w:val="center"/>
            <w:hideMark/>
          </w:tcPr>
          <w:p w:rsidR="00922FAA" w:rsidRPr="004135C2" w:rsidRDefault="00922FAA" w:rsidP="00166456">
            <w:pPr>
              <w:spacing w:after="0" w:line="240" w:lineRule="auto"/>
              <w:jc w:val="right"/>
              <w:rPr>
                <w:rFonts w:ascii="Arial" w:eastAsia="Times New Roman" w:hAnsi="Arial" w:cs="Arial"/>
                <w:sz w:val="20"/>
                <w:szCs w:val="20"/>
                <w:lang w:eastAsia="en-GB"/>
              </w:rPr>
            </w:pPr>
            <w:r w:rsidRPr="004135C2">
              <w:rPr>
                <w:rFonts w:ascii="Arial" w:eastAsia="Times New Roman" w:hAnsi="Arial" w:cs="Arial"/>
                <w:sz w:val="20"/>
                <w:szCs w:val="20"/>
                <w:lang w:eastAsia="en-GB"/>
              </w:rPr>
              <w:t>275</w:t>
            </w:r>
          </w:p>
        </w:tc>
        <w:tc>
          <w:tcPr>
            <w:tcW w:w="757" w:type="dxa"/>
            <w:tcBorders>
              <w:top w:val="nil"/>
              <w:left w:val="nil"/>
              <w:bottom w:val="single" w:sz="4" w:space="0" w:color="auto"/>
              <w:right w:val="single" w:sz="4" w:space="0" w:color="auto"/>
            </w:tcBorders>
            <w:shd w:val="clear" w:color="auto" w:fill="auto"/>
            <w:noWrap/>
            <w:vAlign w:val="center"/>
            <w:hideMark/>
          </w:tcPr>
          <w:p w:rsidR="00922FAA" w:rsidRPr="004135C2" w:rsidRDefault="00922FAA" w:rsidP="00166456">
            <w:pPr>
              <w:spacing w:after="0" w:line="240" w:lineRule="auto"/>
              <w:jc w:val="right"/>
              <w:rPr>
                <w:rFonts w:ascii="Arial" w:eastAsia="Times New Roman" w:hAnsi="Arial" w:cs="Arial"/>
                <w:sz w:val="20"/>
                <w:szCs w:val="20"/>
                <w:lang w:eastAsia="en-GB"/>
              </w:rPr>
            </w:pPr>
            <w:r w:rsidRPr="004135C2">
              <w:rPr>
                <w:rFonts w:ascii="Arial" w:eastAsia="Times New Roman" w:hAnsi="Arial" w:cs="Arial"/>
                <w:sz w:val="20"/>
                <w:szCs w:val="20"/>
                <w:lang w:eastAsia="en-GB"/>
              </w:rPr>
              <w:t>507</w:t>
            </w:r>
          </w:p>
        </w:tc>
        <w:tc>
          <w:tcPr>
            <w:tcW w:w="802" w:type="dxa"/>
            <w:tcBorders>
              <w:top w:val="nil"/>
              <w:left w:val="nil"/>
              <w:bottom w:val="single" w:sz="4" w:space="0" w:color="auto"/>
              <w:right w:val="single" w:sz="4" w:space="0" w:color="auto"/>
            </w:tcBorders>
            <w:shd w:val="clear" w:color="auto" w:fill="auto"/>
            <w:noWrap/>
            <w:vAlign w:val="center"/>
            <w:hideMark/>
          </w:tcPr>
          <w:p w:rsidR="00922FAA" w:rsidRPr="004135C2" w:rsidRDefault="00922FAA" w:rsidP="00166456">
            <w:pPr>
              <w:spacing w:after="0" w:line="240" w:lineRule="auto"/>
              <w:jc w:val="right"/>
              <w:rPr>
                <w:rFonts w:ascii="Arial" w:eastAsia="Times New Roman" w:hAnsi="Arial" w:cs="Arial"/>
                <w:sz w:val="20"/>
                <w:szCs w:val="20"/>
                <w:lang w:eastAsia="en-GB"/>
              </w:rPr>
            </w:pPr>
            <w:r w:rsidRPr="004135C2">
              <w:rPr>
                <w:rFonts w:ascii="Arial" w:eastAsia="Times New Roman" w:hAnsi="Arial" w:cs="Arial"/>
                <w:sz w:val="20"/>
                <w:szCs w:val="20"/>
                <w:lang w:eastAsia="en-GB"/>
              </w:rPr>
              <w:t>9.28%</w:t>
            </w:r>
          </w:p>
        </w:tc>
        <w:tc>
          <w:tcPr>
            <w:tcW w:w="851" w:type="dxa"/>
            <w:tcBorders>
              <w:top w:val="nil"/>
              <w:left w:val="nil"/>
              <w:bottom w:val="single" w:sz="8" w:space="0" w:color="auto"/>
              <w:right w:val="single" w:sz="8" w:space="0" w:color="auto"/>
            </w:tcBorders>
            <w:shd w:val="clear" w:color="auto" w:fill="auto"/>
            <w:noWrap/>
            <w:vAlign w:val="center"/>
            <w:hideMark/>
          </w:tcPr>
          <w:p w:rsidR="00922FAA" w:rsidRPr="004135C2" w:rsidRDefault="00922FAA" w:rsidP="00166456">
            <w:pPr>
              <w:spacing w:after="0" w:line="240" w:lineRule="auto"/>
              <w:jc w:val="right"/>
              <w:rPr>
                <w:rFonts w:ascii="Calibri" w:eastAsia="Times New Roman" w:hAnsi="Calibri" w:cs="Calibri"/>
                <w:lang w:eastAsia="en-GB"/>
              </w:rPr>
            </w:pPr>
            <w:r w:rsidRPr="004135C2">
              <w:rPr>
                <w:rFonts w:ascii="Calibri" w:eastAsia="Times New Roman" w:hAnsi="Calibri" w:cs="Calibri"/>
                <w:lang w:eastAsia="en-GB"/>
              </w:rPr>
              <w:t>£2.45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22FAA" w:rsidRPr="004135C2" w:rsidRDefault="00922FAA" w:rsidP="00166456">
            <w:pPr>
              <w:spacing w:after="0" w:line="240" w:lineRule="auto"/>
              <w:jc w:val="right"/>
              <w:rPr>
                <w:rFonts w:ascii="Arial" w:eastAsia="Times New Roman" w:hAnsi="Arial" w:cs="Arial"/>
                <w:sz w:val="20"/>
                <w:szCs w:val="20"/>
                <w:lang w:eastAsia="en-GB"/>
              </w:rPr>
            </w:pPr>
            <w:r w:rsidRPr="004135C2">
              <w:rPr>
                <w:rFonts w:ascii="Arial" w:eastAsia="Times New Roman" w:hAnsi="Arial" w:cs="Arial"/>
                <w:sz w:val="20"/>
                <w:szCs w:val="20"/>
                <w:lang w:eastAsia="en-GB"/>
              </w:rPr>
              <w:t>45.8%</w:t>
            </w:r>
          </w:p>
        </w:tc>
        <w:tc>
          <w:tcPr>
            <w:tcW w:w="899" w:type="dxa"/>
            <w:tcBorders>
              <w:top w:val="nil"/>
              <w:left w:val="nil"/>
              <w:bottom w:val="single" w:sz="4" w:space="0" w:color="auto"/>
              <w:right w:val="single" w:sz="4" w:space="0" w:color="auto"/>
            </w:tcBorders>
            <w:shd w:val="clear" w:color="auto" w:fill="auto"/>
            <w:noWrap/>
            <w:vAlign w:val="center"/>
            <w:hideMark/>
          </w:tcPr>
          <w:p w:rsidR="00922FAA" w:rsidRPr="004135C2" w:rsidRDefault="00922FAA" w:rsidP="00166456">
            <w:pPr>
              <w:spacing w:after="0" w:line="240" w:lineRule="auto"/>
              <w:jc w:val="right"/>
              <w:rPr>
                <w:rFonts w:ascii="Arial" w:eastAsia="Times New Roman" w:hAnsi="Arial" w:cs="Arial"/>
                <w:sz w:val="20"/>
                <w:szCs w:val="20"/>
                <w:lang w:eastAsia="en-GB"/>
              </w:rPr>
            </w:pPr>
            <w:r w:rsidRPr="004135C2">
              <w:rPr>
                <w:rFonts w:ascii="Arial" w:eastAsia="Times New Roman" w:hAnsi="Arial" w:cs="Arial"/>
                <w:sz w:val="20"/>
                <w:szCs w:val="20"/>
                <w:lang w:eastAsia="en-GB"/>
              </w:rPr>
              <w:t>54.2%</w:t>
            </w:r>
          </w:p>
        </w:tc>
        <w:tc>
          <w:tcPr>
            <w:tcW w:w="2551" w:type="dxa"/>
            <w:vMerge/>
            <w:tcBorders>
              <w:left w:val="nil"/>
            </w:tcBorders>
            <w:shd w:val="clear" w:color="auto" w:fill="DBE5F1" w:themeFill="accent1" w:themeFillTint="33"/>
          </w:tcPr>
          <w:p w:rsidR="00922FAA" w:rsidRPr="004135C2" w:rsidRDefault="00922FAA" w:rsidP="00166456">
            <w:pPr>
              <w:spacing w:after="0" w:line="240" w:lineRule="auto"/>
              <w:jc w:val="right"/>
              <w:rPr>
                <w:rFonts w:ascii="Arial" w:eastAsia="Times New Roman" w:hAnsi="Arial" w:cs="Arial"/>
                <w:sz w:val="20"/>
                <w:szCs w:val="20"/>
                <w:lang w:eastAsia="en-GB"/>
              </w:rPr>
            </w:pPr>
          </w:p>
        </w:tc>
      </w:tr>
      <w:tr w:rsidR="00922FAA" w:rsidRPr="004135C2" w:rsidTr="00922FAA">
        <w:trPr>
          <w:trHeight w:val="301"/>
        </w:trPr>
        <w:tc>
          <w:tcPr>
            <w:tcW w:w="13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2FAA" w:rsidRPr="004135C2" w:rsidRDefault="00922FAA" w:rsidP="00166456">
            <w:pPr>
              <w:spacing w:after="0" w:line="240" w:lineRule="auto"/>
              <w:rPr>
                <w:rFonts w:ascii="Arial" w:eastAsia="Times New Roman" w:hAnsi="Arial" w:cs="Arial"/>
                <w:b/>
                <w:bCs/>
                <w:sz w:val="20"/>
                <w:szCs w:val="20"/>
                <w:lang w:eastAsia="en-GB"/>
              </w:rPr>
            </w:pPr>
            <w:r w:rsidRPr="004135C2">
              <w:rPr>
                <w:rFonts w:ascii="Arial" w:eastAsia="Times New Roman" w:hAnsi="Arial" w:cs="Arial"/>
                <w:b/>
                <w:bCs/>
                <w:sz w:val="20"/>
                <w:szCs w:val="20"/>
                <w:lang w:eastAsia="en-GB"/>
              </w:rPr>
              <w:t>Middle</w:t>
            </w:r>
          </w:p>
        </w:tc>
        <w:tc>
          <w:tcPr>
            <w:tcW w:w="957" w:type="dxa"/>
            <w:tcBorders>
              <w:top w:val="nil"/>
              <w:left w:val="nil"/>
              <w:bottom w:val="single" w:sz="4" w:space="0" w:color="auto"/>
              <w:right w:val="single" w:sz="4" w:space="0" w:color="auto"/>
            </w:tcBorders>
            <w:shd w:val="clear" w:color="000000" w:fill="FFFFFF"/>
            <w:vAlign w:val="center"/>
            <w:hideMark/>
          </w:tcPr>
          <w:p w:rsidR="00922FAA" w:rsidRPr="004135C2" w:rsidRDefault="00922FAA" w:rsidP="00166456">
            <w:pPr>
              <w:spacing w:after="0" w:line="240" w:lineRule="auto"/>
              <w:jc w:val="right"/>
              <w:rPr>
                <w:rFonts w:ascii="Arial" w:eastAsia="Times New Roman" w:hAnsi="Arial" w:cs="Arial"/>
                <w:sz w:val="20"/>
                <w:szCs w:val="20"/>
                <w:lang w:eastAsia="en-GB"/>
              </w:rPr>
            </w:pPr>
            <w:r w:rsidRPr="004135C2">
              <w:rPr>
                <w:rFonts w:ascii="Arial" w:eastAsia="Times New Roman" w:hAnsi="Arial" w:cs="Arial"/>
                <w:sz w:val="20"/>
                <w:szCs w:val="20"/>
                <w:lang w:eastAsia="en-GB"/>
              </w:rPr>
              <w:t>36</w:t>
            </w:r>
          </w:p>
        </w:tc>
        <w:tc>
          <w:tcPr>
            <w:tcW w:w="661" w:type="dxa"/>
            <w:tcBorders>
              <w:top w:val="nil"/>
              <w:left w:val="nil"/>
              <w:bottom w:val="single" w:sz="4" w:space="0" w:color="auto"/>
              <w:right w:val="single" w:sz="4" w:space="0" w:color="auto"/>
            </w:tcBorders>
            <w:shd w:val="clear" w:color="000000" w:fill="FFFFFF"/>
            <w:vAlign w:val="center"/>
            <w:hideMark/>
          </w:tcPr>
          <w:p w:rsidR="00922FAA" w:rsidRPr="004135C2" w:rsidRDefault="00922FAA" w:rsidP="00166456">
            <w:pPr>
              <w:spacing w:after="0" w:line="240" w:lineRule="auto"/>
              <w:jc w:val="right"/>
              <w:rPr>
                <w:rFonts w:ascii="Arial" w:eastAsia="Times New Roman" w:hAnsi="Arial" w:cs="Arial"/>
                <w:sz w:val="20"/>
                <w:szCs w:val="20"/>
                <w:lang w:eastAsia="en-GB"/>
              </w:rPr>
            </w:pPr>
            <w:r w:rsidRPr="004135C2">
              <w:rPr>
                <w:rFonts w:ascii="Arial" w:eastAsia="Times New Roman" w:hAnsi="Arial" w:cs="Arial"/>
                <w:sz w:val="20"/>
                <w:szCs w:val="20"/>
                <w:lang w:eastAsia="en-GB"/>
              </w:rPr>
              <w:t>54</w:t>
            </w:r>
          </w:p>
        </w:tc>
        <w:tc>
          <w:tcPr>
            <w:tcW w:w="757" w:type="dxa"/>
            <w:tcBorders>
              <w:top w:val="nil"/>
              <w:left w:val="nil"/>
              <w:bottom w:val="single" w:sz="4" w:space="0" w:color="auto"/>
              <w:right w:val="single" w:sz="4" w:space="0" w:color="auto"/>
            </w:tcBorders>
            <w:shd w:val="clear" w:color="auto" w:fill="auto"/>
            <w:noWrap/>
            <w:vAlign w:val="center"/>
            <w:hideMark/>
          </w:tcPr>
          <w:p w:rsidR="00922FAA" w:rsidRPr="004135C2" w:rsidRDefault="00922FAA" w:rsidP="00166456">
            <w:pPr>
              <w:spacing w:after="0" w:line="240" w:lineRule="auto"/>
              <w:jc w:val="right"/>
              <w:rPr>
                <w:rFonts w:ascii="Arial" w:eastAsia="Times New Roman" w:hAnsi="Arial" w:cs="Arial"/>
                <w:sz w:val="20"/>
                <w:szCs w:val="20"/>
                <w:lang w:eastAsia="en-GB"/>
              </w:rPr>
            </w:pPr>
            <w:r w:rsidRPr="004135C2">
              <w:rPr>
                <w:rFonts w:ascii="Arial" w:eastAsia="Times New Roman" w:hAnsi="Arial" w:cs="Arial"/>
                <w:sz w:val="20"/>
                <w:szCs w:val="20"/>
                <w:lang w:eastAsia="en-GB"/>
              </w:rPr>
              <w:t>90</w:t>
            </w:r>
          </w:p>
        </w:tc>
        <w:tc>
          <w:tcPr>
            <w:tcW w:w="802" w:type="dxa"/>
            <w:tcBorders>
              <w:top w:val="nil"/>
              <w:left w:val="nil"/>
              <w:bottom w:val="single" w:sz="4" w:space="0" w:color="auto"/>
              <w:right w:val="single" w:sz="4" w:space="0" w:color="auto"/>
            </w:tcBorders>
            <w:shd w:val="clear" w:color="auto" w:fill="auto"/>
            <w:noWrap/>
            <w:vAlign w:val="center"/>
            <w:hideMark/>
          </w:tcPr>
          <w:p w:rsidR="00922FAA" w:rsidRPr="004135C2" w:rsidRDefault="00922FAA" w:rsidP="00166456">
            <w:pPr>
              <w:spacing w:after="0" w:line="240" w:lineRule="auto"/>
              <w:jc w:val="right"/>
              <w:rPr>
                <w:rFonts w:ascii="Arial" w:eastAsia="Times New Roman" w:hAnsi="Arial" w:cs="Arial"/>
                <w:sz w:val="20"/>
                <w:szCs w:val="20"/>
                <w:lang w:eastAsia="en-GB"/>
              </w:rPr>
            </w:pPr>
            <w:r w:rsidRPr="004135C2">
              <w:rPr>
                <w:rFonts w:ascii="Arial" w:eastAsia="Times New Roman" w:hAnsi="Arial" w:cs="Arial"/>
                <w:sz w:val="20"/>
                <w:szCs w:val="20"/>
                <w:lang w:eastAsia="en-GB"/>
              </w:rPr>
              <w:t>9.72%</w:t>
            </w:r>
          </w:p>
        </w:tc>
        <w:tc>
          <w:tcPr>
            <w:tcW w:w="851" w:type="dxa"/>
            <w:tcBorders>
              <w:top w:val="nil"/>
              <w:left w:val="nil"/>
              <w:bottom w:val="single" w:sz="8" w:space="0" w:color="auto"/>
              <w:right w:val="single" w:sz="8" w:space="0" w:color="auto"/>
            </w:tcBorders>
            <w:shd w:val="clear" w:color="auto" w:fill="auto"/>
            <w:noWrap/>
            <w:vAlign w:val="center"/>
            <w:hideMark/>
          </w:tcPr>
          <w:p w:rsidR="00922FAA" w:rsidRPr="004135C2" w:rsidRDefault="00922FAA" w:rsidP="00166456">
            <w:pPr>
              <w:spacing w:after="0" w:line="240" w:lineRule="auto"/>
              <w:jc w:val="right"/>
              <w:rPr>
                <w:rFonts w:ascii="Calibri" w:eastAsia="Times New Roman" w:hAnsi="Calibri" w:cs="Calibri"/>
                <w:lang w:eastAsia="en-GB"/>
              </w:rPr>
            </w:pPr>
            <w:r w:rsidRPr="004135C2">
              <w:rPr>
                <w:rFonts w:ascii="Calibri" w:eastAsia="Times New Roman" w:hAnsi="Calibri" w:cs="Calibri"/>
                <w:lang w:eastAsia="en-GB"/>
              </w:rPr>
              <w:t>£3.36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22FAA" w:rsidRPr="004135C2" w:rsidRDefault="00922FAA" w:rsidP="00166456">
            <w:pPr>
              <w:spacing w:after="0" w:line="240" w:lineRule="auto"/>
              <w:jc w:val="right"/>
              <w:rPr>
                <w:rFonts w:ascii="Arial" w:eastAsia="Times New Roman" w:hAnsi="Arial" w:cs="Arial"/>
                <w:sz w:val="20"/>
                <w:szCs w:val="20"/>
                <w:lang w:eastAsia="en-GB"/>
              </w:rPr>
            </w:pPr>
            <w:r w:rsidRPr="004135C2">
              <w:rPr>
                <w:rFonts w:ascii="Arial" w:eastAsia="Times New Roman" w:hAnsi="Arial" w:cs="Arial"/>
                <w:sz w:val="20"/>
                <w:szCs w:val="20"/>
                <w:lang w:eastAsia="en-GB"/>
              </w:rPr>
              <w:t>40.0%</w:t>
            </w:r>
          </w:p>
        </w:tc>
        <w:tc>
          <w:tcPr>
            <w:tcW w:w="899" w:type="dxa"/>
            <w:tcBorders>
              <w:top w:val="nil"/>
              <w:left w:val="nil"/>
              <w:bottom w:val="single" w:sz="4" w:space="0" w:color="auto"/>
              <w:right w:val="single" w:sz="4" w:space="0" w:color="auto"/>
            </w:tcBorders>
            <w:shd w:val="clear" w:color="auto" w:fill="auto"/>
            <w:noWrap/>
            <w:vAlign w:val="center"/>
            <w:hideMark/>
          </w:tcPr>
          <w:p w:rsidR="00922FAA" w:rsidRPr="004135C2" w:rsidRDefault="00922FAA" w:rsidP="00166456">
            <w:pPr>
              <w:spacing w:after="0" w:line="240" w:lineRule="auto"/>
              <w:jc w:val="right"/>
              <w:rPr>
                <w:rFonts w:ascii="Arial" w:eastAsia="Times New Roman" w:hAnsi="Arial" w:cs="Arial"/>
                <w:sz w:val="20"/>
                <w:szCs w:val="20"/>
                <w:lang w:eastAsia="en-GB"/>
              </w:rPr>
            </w:pPr>
            <w:r w:rsidRPr="004135C2">
              <w:rPr>
                <w:rFonts w:ascii="Arial" w:eastAsia="Times New Roman" w:hAnsi="Arial" w:cs="Arial"/>
                <w:sz w:val="20"/>
                <w:szCs w:val="20"/>
                <w:lang w:eastAsia="en-GB"/>
              </w:rPr>
              <w:t>60.0%</w:t>
            </w:r>
          </w:p>
        </w:tc>
        <w:tc>
          <w:tcPr>
            <w:tcW w:w="2551" w:type="dxa"/>
            <w:vMerge/>
            <w:tcBorders>
              <w:left w:val="nil"/>
            </w:tcBorders>
            <w:shd w:val="clear" w:color="auto" w:fill="DBE5F1" w:themeFill="accent1" w:themeFillTint="33"/>
          </w:tcPr>
          <w:p w:rsidR="00922FAA" w:rsidRPr="004135C2" w:rsidRDefault="00922FAA" w:rsidP="00166456">
            <w:pPr>
              <w:spacing w:after="0" w:line="240" w:lineRule="auto"/>
              <w:jc w:val="right"/>
              <w:rPr>
                <w:rFonts w:ascii="Arial" w:eastAsia="Times New Roman" w:hAnsi="Arial" w:cs="Arial"/>
                <w:sz w:val="20"/>
                <w:szCs w:val="20"/>
                <w:lang w:eastAsia="en-GB"/>
              </w:rPr>
            </w:pPr>
          </w:p>
        </w:tc>
      </w:tr>
      <w:tr w:rsidR="00922FAA" w:rsidRPr="004135C2" w:rsidTr="00922FAA">
        <w:trPr>
          <w:trHeight w:val="262"/>
        </w:trPr>
        <w:tc>
          <w:tcPr>
            <w:tcW w:w="13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2FAA" w:rsidRPr="004135C2" w:rsidRDefault="00922FAA" w:rsidP="00166456">
            <w:pPr>
              <w:spacing w:after="0" w:line="240" w:lineRule="auto"/>
              <w:rPr>
                <w:rFonts w:ascii="Arial" w:eastAsia="Times New Roman" w:hAnsi="Arial" w:cs="Arial"/>
                <w:b/>
                <w:bCs/>
                <w:sz w:val="20"/>
                <w:szCs w:val="20"/>
                <w:lang w:eastAsia="en-GB"/>
              </w:rPr>
            </w:pPr>
            <w:r w:rsidRPr="004135C2">
              <w:rPr>
                <w:rFonts w:ascii="Arial" w:eastAsia="Times New Roman" w:hAnsi="Arial" w:cs="Arial"/>
                <w:b/>
                <w:bCs/>
                <w:sz w:val="20"/>
                <w:szCs w:val="20"/>
                <w:lang w:eastAsia="en-GB"/>
              </w:rPr>
              <w:t>Consultant</w:t>
            </w:r>
          </w:p>
        </w:tc>
        <w:tc>
          <w:tcPr>
            <w:tcW w:w="957" w:type="dxa"/>
            <w:tcBorders>
              <w:top w:val="nil"/>
              <w:left w:val="nil"/>
              <w:bottom w:val="single" w:sz="4" w:space="0" w:color="auto"/>
              <w:right w:val="single" w:sz="4" w:space="0" w:color="auto"/>
            </w:tcBorders>
            <w:shd w:val="clear" w:color="000000" w:fill="FFFFFF"/>
            <w:vAlign w:val="center"/>
            <w:hideMark/>
          </w:tcPr>
          <w:p w:rsidR="00922FAA" w:rsidRPr="004135C2" w:rsidRDefault="00922FAA" w:rsidP="00166456">
            <w:pPr>
              <w:spacing w:after="0" w:line="240" w:lineRule="auto"/>
              <w:jc w:val="right"/>
              <w:rPr>
                <w:rFonts w:ascii="Arial" w:eastAsia="Times New Roman" w:hAnsi="Arial" w:cs="Arial"/>
                <w:sz w:val="20"/>
                <w:szCs w:val="20"/>
                <w:lang w:eastAsia="en-GB"/>
              </w:rPr>
            </w:pPr>
            <w:r w:rsidRPr="004135C2">
              <w:rPr>
                <w:rFonts w:ascii="Arial" w:eastAsia="Times New Roman" w:hAnsi="Arial" w:cs="Arial"/>
                <w:sz w:val="20"/>
                <w:szCs w:val="20"/>
                <w:lang w:eastAsia="en-GB"/>
              </w:rPr>
              <w:t>170</w:t>
            </w:r>
          </w:p>
        </w:tc>
        <w:tc>
          <w:tcPr>
            <w:tcW w:w="661" w:type="dxa"/>
            <w:tcBorders>
              <w:top w:val="nil"/>
              <w:left w:val="nil"/>
              <w:bottom w:val="single" w:sz="4" w:space="0" w:color="auto"/>
              <w:right w:val="single" w:sz="4" w:space="0" w:color="auto"/>
            </w:tcBorders>
            <w:shd w:val="clear" w:color="000000" w:fill="FFFFFF"/>
            <w:vAlign w:val="center"/>
            <w:hideMark/>
          </w:tcPr>
          <w:p w:rsidR="00922FAA" w:rsidRPr="004135C2" w:rsidRDefault="00922FAA" w:rsidP="00166456">
            <w:pPr>
              <w:spacing w:after="0" w:line="240" w:lineRule="auto"/>
              <w:jc w:val="right"/>
              <w:rPr>
                <w:rFonts w:ascii="Arial" w:eastAsia="Times New Roman" w:hAnsi="Arial" w:cs="Arial"/>
                <w:sz w:val="20"/>
                <w:szCs w:val="20"/>
                <w:lang w:eastAsia="en-GB"/>
              </w:rPr>
            </w:pPr>
            <w:r w:rsidRPr="004135C2">
              <w:rPr>
                <w:rFonts w:ascii="Arial" w:eastAsia="Times New Roman" w:hAnsi="Arial" w:cs="Arial"/>
                <w:sz w:val="20"/>
                <w:szCs w:val="20"/>
                <w:lang w:eastAsia="en-GB"/>
              </w:rPr>
              <w:t>270</w:t>
            </w:r>
          </w:p>
        </w:tc>
        <w:tc>
          <w:tcPr>
            <w:tcW w:w="757" w:type="dxa"/>
            <w:tcBorders>
              <w:top w:val="nil"/>
              <w:left w:val="nil"/>
              <w:bottom w:val="single" w:sz="4" w:space="0" w:color="auto"/>
              <w:right w:val="single" w:sz="4" w:space="0" w:color="auto"/>
            </w:tcBorders>
            <w:shd w:val="clear" w:color="auto" w:fill="auto"/>
            <w:noWrap/>
            <w:vAlign w:val="center"/>
            <w:hideMark/>
          </w:tcPr>
          <w:p w:rsidR="00922FAA" w:rsidRPr="004135C2" w:rsidRDefault="00922FAA" w:rsidP="00166456">
            <w:pPr>
              <w:spacing w:after="0" w:line="240" w:lineRule="auto"/>
              <w:jc w:val="right"/>
              <w:rPr>
                <w:rFonts w:ascii="Arial" w:eastAsia="Times New Roman" w:hAnsi="Arial" w:cs="Arial"/>
                <w:sz w:val="20"/>
                <w:szCs w:val="20"/>
                <w:lang w:eastAsia="en-GB"/>
              </w:rPr>
            </w:pPr>
            <w:r w:rsidRPr="004135C2">
              <w:rPr>
                <w:rFonts w:ascii="Arial" w:eastAsia="Times New Roman" w:hAnsi="Arial" w:cs="Arial"/>
                <w:sz w:val="20"/>
                <w:szCs w:val="20"/>
                <w:lang w:eastAsia="en-GB"/>
              </w:rPr>
              <w:t>440</w:t>
            </w:r>
          </w:p>
        </w:tc>
        <w:tc>
          <w:tcPr>
            <w:tcW w:w="802" w:type="dxa"/>
            <w:tcBorders>
              <w:top w:val="nil"/>
              <w:left w:val="nil"/>
              <w:bottom w:val="single" w:sz="4" w:space="0" w:color="auto"/>
              <w:right w:val="single" w:sz="4" w:space="0" w:color="auto"/>
            </w:tcBorders>
            <w:shd w:val="clear" w:color="auto" w:fill="auto"/>
            <w:noWrap/>
            <w:vAlign w:val="center"/>
            <w:hideMark/>
          </w:tcPr>
          <w:p w:rsidR="00922FAA" w:rsidRPr="004135C2" w:rsidRDefault="00922FAA" w:rsidP="00166456">
            <w:pPr>
              <w:spacing w:after="0" w:line="240" w:lineRule="auto"/>
              <w:jc w:val="right"/>
              <w:rPr>
                <w:rFonts w:ascii="Arial" w:eastAsia="Times New Roman" w:hAnsi="Arial" w:cs="Arial"/>
                <w:sz w:val="20"/>
                <w:szCs w:val="20"/>
                <w:lang w:eastAsia="en-GB"/>
              </w:rPr>
            </w:pPr>
            <w:r w:rsidRPr="004135C2">
              <w:rPr>
                <w:rFonts w:ascii="Arial" w:eastAsia="Times New Roman" w:hAnsi="Arial" w:cs="Arial"/>
                <w:sz w:val="20"/>
                <w:szCs w:val="20"/>
                <w:lang w:eastAsia="en-GB"/>
              </w:rPr>
              <w:t>6.55%</w:t>
            </w:r>
          </w:p>
        </w:tc>
        <w:tc>
          <w:tcPr>
            <w:tcW w:w="851" w:type="dxa"/>
            <w:tcBorders>
              <w:top w:val="nil"/>
              <w:left w:val="nil"/>
              <w:bottom w:val="single" w:sz="4" w:space="0" w:color="auto"/>
              <w:right w:val="single" w:sz="8" w:space="0" w:color="auto"/>
            </w:tcBorders>
            <w:shd w:val="clear" w:color="auto" w:fill="auto"/>
            <w:noWrap/>
            <w:vAlign w:val="center"/>
            <w:hideMark/>
          </w:tcPr>
          <w:p w:rsidR="00922FAA" w:rsidRPr="004135C2" w:rsidRDefault="00922FAA" w:rsidP="00166456">
            <w:pPr>
              <w:spacing w:after="0" w:line="240" w:lineRule="auto"/>
              <w:jc w:val="right"/>
              <w:rPr>
                <w:rFonts w:ascii="Calibri" w:eastAsia="Times New Roman" w:hAnsi="Calibri" w:cs="Calibri"/>
                <w:lang w:eastAsia="en-GB"/>
              </w:rPr>
            </w:pPr>
            <w:r w:rsidRPr="004135C2">
              <w:rPr>
                <w:rFonts w:ascii="Calibri" w:eastAsia="Times New Roman" w:hAnsi="Calibri" w:cs="Calibri"/>
                <w:lang w:eastAsia="en-GB"/>
              </w:rPr>
              <w:t>£3.36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22FAA" w:rsidRPr="004135C2" w:rsidRDefault="00922FAA" w:rsidP="00166456">
            <w:pPr>
              <w:spacing w:after="0" w:line="240" w:lineRule="auto"/>
              <w:jc w:val="right"/>
              <w:rPr>
                <w:rFonts w:ascii="Arial" w:eastAsia="Times New Roman" w:hAnsi="Arial" w:cs="Arial"/>
                <w:sz w:val="20"/>
                <w:szCs w:val="20"/>
                <w:lang w:eastAsia="en-GB"/>
              </w:rPr>
            </w:pPr>
            <w:r w:rsidRPr="004135C2">
              <w:rPr>
                <w:rFonts w:ascii="Arial" w:eastAsia="Times New Roman" w:hAnsi="Arial" w:cs="Arial"/>
                <w:sz w:val="20"/>
                <w:szCs w:val="20"/>
                <w:lang w:eastAsia="en-GB"/>
              </w:rPr>
              <w:t>38.6%</w:t>
            </w:r>
          </w:p>
        </w:tc>
        <w:tc>
          <w:tcPr>
            <w:tcW w:w="899" w:type="dxa"/>
            <w:tcBorders>
              <w:top w:val="nil"/>
              <w:left w:val="nil"/>
              <w:bottom w:val="single" w:sz="4" w:space="0" w:color="auto"/>
              <w:right w:val="single" w:sz="4" w:space="0" w:color="auto"/>
            </w:tcBorders>
            <w:shd w:val="clear" w:color="auto" w:fill="auto"/>
            <w:noWrap/>
            <w:vAlign w:val="center"/>
            <w:hideMark/>
          </w:tcPr>
          <w:p w:rsidR="00922FAA" w:rsidRPr="004135C2" w:rsidRDefault="00922FAA" w:rsidP="00166456">
            <w:pPr>
              <w:spacing w:after="0" w:line="240" w:lineRule="auto"/>
              <w:jc w:val="right"/>
              <w:rPr>
                <w:rFonts w:ascii="Arial" w:eastAsia="Times New Roman" w:hAnsi="Arial" w:cs="Arial"/>
                <w:sz w:val="20"/>
                <w:szCs w:val="20"/>
                <w:lang w:eastAsia="en-GB"/>
              </w:rPr>
            </w:pPr>
            <w:r w:rsidRPr="004135C2">
              <w:rPr>
                <w:rFonts w:ascii="Arial" w:eastAsia="Times New Roman" w:hAnsi="Arial" w:cs="Arial"/>
                <w:sz w:val="20"/>
                <w:szCs w:val="20"/>
                <w:lang w:eastAsia="en-GB"/>
              </w:rPr>
              <w:t>61.4%</w:t>
            </w:r>
          </w:p>
        </w:tc>
        <w:tc>
          <w:tcPr>
            <w:tcW w:w="2551" w:type="dxa"/>
            <w:vMerge/>
            <w:tcBorders>
              <w:left w:val="nil"/>
            </w:tcBorders>
            <w:shd w:val="clear" w:color="auto" w:fill="DBE5F1" w:themeFill="accent1" w:themeFillTint="33"/>
          </w:tcPr>
          <w:p w:rsidR="00922FAA" w:rsidRPr="004135C2" w:rsidRDefault="00922FAA" w:rsidP="00166456">
            <w:pPr>
              <w:spacing w:after="0" w:line="240" w:lineRule="auto"/>
              <w:jc w:val="right"/>
              <w:rPr>
                <w:rFonts w:ascii="Arial" w:eastAsia="Times New Roman" w:hAnsi="Arial" w:cs="Arial"/>
                <w:sz w:val="20"/>
                <w:szCs w:val="20"/>
                <w:lang w:eastAsia="en-GB"/>
              </w:rPr>
            </w:pPr>
          </w:p>
        </w:tc>
      </w:tr>
      <w:tr w:rsidR="00922FAA" w:rsidRPr="004135C2" w:rsidTr="00922FAA">
        <w:trPr>
          <w:trHeight w:val="294"/>
        </w:trPr>
        <w:tc>
          <w:tcPr>
            <w:tcW w:w="1301" w:type="dxa"/>
            <w:tcBorders>
              <w:top w:val="single" w:sz="4" w:space="0" w:color="auto"/>
              <w:left w:val="single" w:sz="4" w:space="0" w:color="auto"/>
              <w:bottom w:val="triple" w:sz="4" w:space="0" w:color="auto"/>
              <w:right w:val="single" w:sz="4" w:space="0" w:color="auto"/>
            </w:tcBorders>
            <w:shd w:val="clear" w:color="auto" w:fill="B8CCE4" w:themeFill="accent1" w:themeFillTint="66"/>
            <w:vAlign w:val="center"/>
            <w:hideMark/>
          </w:tcPr>
          <w:p w:rsidR="00922FAA" w:rsidRPr="004135C2" w:rsidRDefault="00922FAA" w:rsidP="00166456">
            <w:pPr>
              <w:spacing w:after="0" w:line="240" w:lineRule="auto"/>
              <w:rPr>
                <w:rFonts w:ascii="Arial" w:eastAsia="Times New Roman" w:hAnsi="Arial" w:cs="Arial"/>
                <w:b/>
                <w:bCs/>
                <w:sz w:val="20"/>
                <w:szCs w:val="20"/>
                <w:lang w:eastAsia="en-GB"/>
              </w:rPr>
            </w:pPr>
            <w:r w:rsidRPr="004135C2">
              <w:rPr>
                <w:rFonts w:ascii="Arial" w:eastAsia="Times New Roman" w:hAnsi="Arial" w:cs="Arial"/>
                <w:b/>
                <w:bCs/>
                <w:sz w:val="20"/>
                <w:szCs w:val="20"/>
                <w:lang w:eastAsia="en-GB"/>
              </w:rPr>
              <w:t> </w:t>
            </w:r>
          </w:p>
        </w:tc>
        <w:tc>
          <w:tcPr>
            <w:tcW w:w="957" w:type="dxa"/>
            <w:tcBorders>
              <w:top w:val="single" w:sz="4" w:space="0" w:color="auto"/>
              <w:left w:val="nil"/>
              <w:bottom w:val="triple" w:sz="4" w:space="0" w:color="auto"/>
              <w:right w:val="single" w:sz="4" w:space="0" w:color="auto"/>
            </w:tcBorders>
            <w:shd w:val="clear" w:color="auto" w:fill="B8CCE4" w:themeFill="accent1" w:themeFillTint="66"/>
            <w:vAlign w:val="center"/>
            <w:hideMark/>
          </w:tcPr>
          <w:p w:rsidR="00922FAA" w:rsidRPr="004135C2" w:rsidRDefault="00922FAA" w:rsidP="00166456">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438</w:t>
            </w:r>
            <w:r w:rsidRPr="004135C2">
              <w:rPr>
                <w:rFonts w:ascii="Arial" w:eastAsia="Times New Roman" w:hAnsi="Arial" w:cs="Arial"/>
                <w:b/>
                <w:bCs/>
                <w:sz w:val="20"/>
                <w:szCs w:val="20"/>
                <w:lang w:eastAsia="en-GB"/>
              </w:rPr>
              <w:t> </w:t>
            </w:r>
          </w:p>
        </w:tc>
        <w:tc>
          <w:tcPr>
            <w:tcW w:w="661" w:type="dxa"/>
            <w:tcBorders>
              <w:top w:val="single" w:sz="4" w:space="0" w:color="auto"/>
              <w:left w:val="nil"/>
              <w:bottom w:val="triple" w:sz="4" w:space="0" w:color="auto"/>
              <w:right w:val="single" w:sz="4" w:space="0" w:color="auto"/>
            </w:tcBorders>
            <w:shd w:val="clear" w:color="auto" w:fill="B8CCE4" w:themeFill="accent1" w:themeFillTint="66"/>
            <w:vAlign w:val="center"/>
            <w:hideMark/>
          </w:tcPr>
          <w:p w:rsidR="00922FAA" w:rsidRPr="004135C2" w:rsidRDefault="00922FAA" w:rsidP="00166456">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599</w:t>
            </w:r>
            <w:r w:rsidRPr="004135C2">
              <w:rPr>
                <w:rFonts w:ascii="Arial" w:eastAsia="Times New Roman" w:hAnsi="Arial" w:cs="Arial"/>
                <w:b/>
                <w:bCs/>
                <w:sz w:val="20"/>
                <w:szCs w:val="20"/>
                <w:lang w:eastAsia="en-GB"/>
              </w:rPr>
              <w:t> </w:t>
            </w:r>
          </w:p>
        </w:tc>
        <w:tc>
          <w:tcPr>
            <w:tcW w:w="75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22FAA" w:rsidRPr="00CE38E7" w:rsidRDefault="00922FAA" w:rsidP="00166456">
            <w:pPr>
              <w:spacing w:after="0" w:line="240" w:lineRule="auto"/>
              <w:jc w:val="right"/>
              <w:rPr>
                <w:rFonts w:ascii="Arial" w:eastAsia="Times New Roman" w:hAnsi="Arial" w:cs="Arial"/>
                <w:b/>
                <w:sz w:val="20"/>
                <w:szCs w:val="20"/>
                <w:lang w:eastAsia="en-GB"/>
              </w:rPr>
            </w:pPr>
            <w:r w:rsidRPr="00CE38E7">
              <w:rPr>
                <w:rFonts w:ascii="Arial" w:eastAsia="Times New Roman" w:hAnsi="Arial" w:cs="Arial"/>
                <w:b/>
                <w:sz w:val="20"/>
                <w:szCs w:val="20"/>
                <w:lang w:eastAsia="en-GB"/>
              </w:rPr>
              <w:t>1037</w:t>
            </w:r>
          </w:p>
        </w:tc>
        <w:tc>
          <w:tcPr>
            <w:tcW w:w="80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922FAA" w:rsidRPr="00CE38E7" w:rsidRDefault="00922FAA" w:rsidP="00166456">
            <w:pPr>
              <w:spacing w:after="0" w:line="240" w:lineRule="auto"/>
              <w:jc w:val="right"/>
              <w:rPr>
                <w:rFonts w:ascii="Arial" w:eastAsia="Times New Roman" w:hAnsi="Arial" w:cs="Arial"/>
                <w:b/>
                <w:bCs/>
                <w:sz w:val="20"/>
                <w:szCs w:val="20"/>
                <w:lang w:eastAsia="en-GB"/>
              </w:rPr>
            </w:pPr>
            <w:r w:rsidRPr="00CE38E7">
              <w:rPr>
                <w:rFonts w:ascii="Arial" w:eastAsia="Times New Roman" w:hAnsi="Arial" w:cs="Arial"/>
                <w:b/>
                <w:bCs/>
                <w:sz w:val="20"/>
                <w:szCs w:val="20"/>
                <w:lang w:eastAsia="en-GB"/>
              </w:rPr>
              <w:t> </w:t>
            </w:r>
          </w:p>
        </w:tc>
        <w:tc>
          <w:tcPr>
            <w:tcW w:w="851"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22FAA" w:rsidRPr="004135C2" w:rsidRDefault="00922FAA" w:rsidP="00166456">
            <w:pPr>
              <w:spacing w:after="0" w:line="240" w:lineRule="auto"/>
              <w:rPr>
                <w:rFonts w:ascii="Calibri" w:eastAsia="Times New Roman" w:hAnsi="Calibri" w:cs="Calibri"/>
                <w:lang w:eastAsia="en-GB"/>
              </w:rPr>
            </w:pPr>
            <w:r w:rsidRPr="004135C2">
              <w:rPr>
                <w:rFonts w:ascii="Calibri" w:eastAsia="Times New Roman" w:hAnsi="Calibri" w:cs="Calibri"/>
                <w:lang w:eastAsia="en-GB"/>
              </w:rPr>
              <w:t> </w:t>
            </w:r>
          </w:p>
        </w:tc>
        <w:tc>
          <w:tcPr>
            <w:tcW w:w="850"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22FAA" w:rsidRPr="004135C2" w:rsidRDefault="00922FAA" w:rsidP="00166456">
            <w:pPr>
              <w:spacing w:after="0" w:line="240" w:lineRule="auto"/>
              <w:rPr>
                <w:rFonts w:ascii="Arial" w:eastAsia="Times New Roman" w:hAnsi="Arial" w:cs="Arial"/>
                <w:sz w:val="20"/>
                <w:szCs w:val="20"/>
                <w:lang w:eastAsia="en-GB"/>
              </w:rPr>
            </w:pPr>
            <w:r w:rsidRPr="004135C2">
              <w:rPr>
                <w:rFonts w:ascii="Arial" w:eastAsia="Times New Roman" w:hAnsi="Arial" w:cs="Arial"/>
                <w:sz w:val="20"/>
                <w:szCs w:val="20"/>
                <w:lang w:eastAsia="en-GB"/>
              </w:rPr>
              <w:t> </w:t>
            </w:r>
          </w:p>
        </w:tc>
        <w:tc>
          <w:tcPr>
            <w:tcW w:w="899"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22FAA" w:rsidRDefault="00922FAA" w:rsidP="00166456">
            <w:pPr>
              <w:spacing w:after="0" w:line="240" w:lineRule="auto"/>
              <w:rPr>
                <w:rFonts w:ascii="Arial" w:eastAsia="Times New Roman" w:hAnsi="Arial" w:cs="Arial"/>
                <w:sz w:val="20"/>
                <w:szCs w:val="20"/>
                <w:lang w:eastAsia="en-GB"/>
              </w:rPr>
            </w:pPr>
            <w:r w:rsidRPr="004135C2">
              <w:rPr>
                <w:rFonts w:ascii="Arial" w:eastAsia="Times New Roman" w:hAnsi="Arial" w:cs="Arial"/>
                <w:sz w:val="20"/>
                <w:szCs w:val="20"/>
                <w:lang w:eastAsia="en-GB"/>
              </w:rPr>
              <w:t> </w:t>
            </w:r>
          </w:p>
          <w:p w:rsidR="00922FAA" w:rsidRPr="004135C2" w:rsidRDefault="00922FAA" w:rsidP="00166456">
            <w:pPr>
              <w:spacing w:after="0" w:line="240" w:lineRule="auto"/>
              <w:rPr>
                <w:rFonts w:ascii="Arial" w:eastAsia="Times New Roman" w:hAnsi="Arial" w:cs="Arial"/>
                <w:sz w:val="20"/>
                <w:szCs w:val="20"/>
                <w:lang w:eastAsia="en-GB"/>
              </w:rPr>
            </w:pPr>
          </w:p>
        </w:tc>
        <w:tc>
          <w:tcPr>
            <w:tcW w:w="2551" w:type="dxa"/>
            <w:vMerge/>
            <w:tcBorders>
              <w:left w:val="nil"/>
            </w:tcBorders>
            <w:shd w:val="clear" w:color="auto" w:fill="DBE5F1" w:themeFill="accent1" w:themeFillTint="33"/>
          </w:tcPr>
          <w:p w:rsidR="00922FAA" w:rsidRPr="004135C2" w:rsidRDefault="00922FAA" w:rsidP="00166456">
            <w:pPr>
              <w:spacing w:after="0" w:line="240" w:lineRule="auto"/>
              <w:rPr>
                <w:rFonts w:ascii="Arial" w:eastAsia="Times New Roman" w:hAnsi="Arial" w:cs="Arial"/>
                <w:sz w:val="20"/>
                <w:szCs w:val="20"/>
                <w:lang w:eastAsia="en-GB"/>
              </w:rPr>
            </w:pPr>
          </w:p>
        </w:tc>
      </w:tr>
      <w:tr w:rsidR="00922FAA" w:rsidRPr="004135C2" w:rsidTr="00922FAA">
        <w:trPr>
          <w:trHeight w:val="39"/>
        </w:trPr>
        <w:tc>
          <w:tcPr>
            <w:tcW w:w="2919" w:type="dxa"/>
            <w:gridSpan w:val="3"/>
            <w:tcBorders>
              <w:top w:val="triple" w:sz="4" w:space="0" w:color="auto"/>
              <w:left w:val="triple" w:sz="4" w:space="0" w:color="auto"/>
              <w:bottom w:val="triple" w:sz="4" w:space="0" w:color="auto"/>
              <w:right w:val="triple" w:sz="4" w:space="0" w:color="auto"/>
            </w:tcBorders>
            <w:shd w:val="clear" w:color="auto" w:fill="95B3D7" w:themeFill="accent1" w:themeFillTint="99"/>
            <w:noWrap/>
            <w:vAlign w:val="bottom"/>
            <w:hideMark/>
          </w:tcPr>
          <w:p w:rsidR="00922FAA" w:rsidRPr="004135C2" w:rsidRDefault="00922FAA" w:rsidP="004135C2">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Medical staff number 202</w:t>
            </w:r>
            <w:r>
              <w:rPr>
                <w:rFonts w:ascii="Calibri" w:eastAsia="Times New Roman" w:hAnsi="Calibri" w:cs="Calibri"/>
                <w:b/>
                <w:bCs/>
                <w:lang w:eastAsia="en-GB"/>
              </w:rPr>
              <w:t>2</w:t>
            </w:r>
          </w:p>
        </w:tc>
        <w:tc>
          <w:tcPr>
            <w:tcW w:w="757" w:type="dxa"/>
            <w:vMerge w:val="restart"/>
            <w:tcBorders>
              <w:top w:val="single" w:sz="4" w:space="0" w:color="auto"/>
              <w:left w:val="triple" w:sz="4" w:space="0" w:color="auto"/>
              <w:bottom w:val="single" w:sz="4" w:space="0" w:color="auto"/>
              <w:right w:val="single" w:sz="4" w:space="0" w:color="auto"/>
            </w:tcBorders>
            <w:shd w:val="clear" w:color="auto" w:fill="B8CCE4" w:themeFill="accent1" w:themeFillTint="66"/>
            <w:vAlign w:val="center"/>
            <w:hideMark/>
          </w:tcPr>
          <w:p w:rsidR="00922FAA" w:rsidRPr="004135C2" w:rsidRDefault="00922FAA" w:rsidP="00A87940">
            <w:pPr>
              <w:spacing w:after="0" w:line="240" w:lineRule="auto"/>
              <w:rPr>
                <w:rFonts w:ascii="Arial" w:eastAsia="Times New Roman" w:hAnsi="Arial" w:cs="Arial"/>
                <w:b/>
                <w:bCs/>
                <w:sz w:val="20"/>
                <w:szCs w:val="20"/>
                <w:lang w:eastAsia="en-GB"/>
              </w:rPr>
            </w:pPr>
            <w:r w:rsidRPr="004135C2">
              <w:rPr>
                <w:rFonts w:ascii="Arial" w:eastAsia="Times New Roman" w:hAnsi="Arial" w:cs="Arial"/>
                <w:b/>
                <w:bCs/>
                <w:sz w:val="20"/>
                <w:szCs w:val="20"/>
                <w:lang w:eastAsia="en-GB"/>
              </w:rPr>
              <w:t>Total</w:t>
            </w:r>
          </w:p>
        </w:tc>
        <w:tc>
          <w:tcPr>
            <w:tcW w:w="802"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922FAA" w:rsidRPr="004135C2" w:rsidRDefault="00922FAA" w:rsidP="00A87940">
            <w:pPr>
              <w:spacing w:after="0" w:line="240" w:lineRule="auto"/>
              <w:jc w:val="center"/>
              <w:rPr>
                <w:rFonts w:ascii="Arial" w:eastAsia="Times New Roman" w:hAnsi="Arial" w:cs="Arial"/>
                <w:b/>
                <w:bCs/>
                <w:sz w:val="20"/>
                <w:szCs w:val="20"/>
                <w:lang w:eastAsia="en-GB"/>
              </w:rPr>
            </w:pPr>
            <w:r w:rsidRPr="004135C2">
              <w:rPr>
                <w:rFonts w:ascii="Arial" w:eastAsia="Times New Roman" w:hAnsi="Arial" w:cs="Arial"/>
                <w:b/>
                <w:bCs/>
                <w:sz w:val="20"/>
                <w:szCs w:val="20"/>
                <w:lang w:eastAsia="en-GB"/>
              </w:rPr>
              <w:t>Mean pay gap</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bottom"/>
            <w:hideMark/>
          </w:tcPr>
          <w:p w:rsidR="00922FAA" w:rsidRPr="004135C2" w:rsidRDefault="00922FAA" w:rsidP="00A87940">
            <w:pPr>
              <w:spacing w:after="0" w:line="240" w:lineRule="auto"/>
              <w:rPr>
                <w:rFonts w:ascii="Calibri" w:eastAsia="Times New Roman" w:hAnsi="Calibri" w:cs="Calibri"/>
                <w:b/>
                <w:bCs/>
                <w:lang w:eastAsia="en-GB"/>
              </w:rPr>
            </w:pPr>
            <w:r w:rsidRPr="004135C2">
              <w:rPr>
                <w:rFonts w:ascii="Calibri" w:eastAsia="Times New Roman" w:hAnsi="Calibri" w:cs="Calibri"/>
                <w:b/>
                <w:bCs/>
                <w:lang w:eastAsia="en-GB"/>
              </w:rPr>
              <w:t>Diff in hourly pay</w:t>
            </w:r>
          </w:p>
        </w:tc>
        <w:tc>
          <w:tcPr>
            <w:tcW w:w="1749"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922FAA" w:rsidRPr="004135C2" w:rsidRDefault="00922FAA" w:rsidP="00A87940">
            <w:pPr>
              <w:spacing w:after="0" w:line="240" w:lineRule="auto"/>
              <w:jc w:val="center"/>
              <w:rPr>
                <w:rFonts w:ascii="Calibri" w:eastAsia="Times New Roman" w:hAnsi="Calibri" w:cs="Calibri"/>
                <w:b/>
                <w:bCs/>
                <w:lang w:eastAsia="en-GB"/>
              </w:rPr>
            </w:pPr>
            <w:r w:rsidRPr="004135C2">
              <w:rPr>
                <w:rFonts w:ascii="Calibri" w:eastAsia="Times New Roman" w:hAnsi="Calibri" w:cs="Calibri"/>
                <w:b/>
                <w:bCs/>
                <w:lang w:eastAsia="en-GB"/>
              </w:rPr>
              <w:t>Medical Staff %</w:t>
            </w:r>
          </w:p>
        </w:tc>
        <w:tc>
          <w:tcPr>
            <w:tcW w:w="2551" w:type="dxa"/>
            <w:vMerge/>
            <w:tcBorders>
              <w:left w:val="nil"/>
            </w:tcBorders>
            <w:shd w:val="clear" w:color="auto" w:fill="DBE5F1" w:themeFill="accent1" w:themeFillTint="33"/>
          </w:tcPr>
          <w:p w:rsidR="00922FAA" w:rsidRPr="004135C2" w:rsidRDefault="00922FAA" w:rsidP="00A87940">
            <w:pPr>
              <w:spacing w:after="0" w:line="240" w:lineRule="auto"/>
              <w:jc w:val="center"/>
              <w:rPr>
                <w:rFonts w:ascii="Calibri" w:eastAsia="Times New Roman" w:hAnsi="Calibri" w:cs="Calibri"/>
                <w:b/>
                <w:bCs/>
                <w:lang w:eastAsia="en-GB"/>
              </w:rPr>
            </w:pPr>
          </w:p>
        </w:tc>
      </w:tr>
      <w:tr w:rsidR="00922FAA" w:rsidRPr="004135C2" w:rsidTr="00922FAA">
        <w:trPr>
          <w:trHeight w:val="354"/>
        </w:trPr>
        <w:tc>
          <w:tcPr>
            <w:tcW w:w="1301" w:type="dxa"/>
            <w:tcBorders>
              <w:top w:val="trip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22FAA" w:rsidRPr="004135C2" w:rsidRDefault="00922FAA" w:rsidP="00A87940">
            <w:pPr>
              <w:spacing w:after="0" w:line="240" w:lineRule="auto"/>
              <w:ind w:right="1029"/>
              <w:rPr>
                <w:rFonts w:ascii="Arial" w:eastAsia="Times New Roman" w:hAnsi="Arial" w:cs="Arial"/>
                <w:b/>
                <w:bCs/>
                <w:sz w:val="20"/>
                <w:szCs w:val="20"/>
                <w:lang w:eastAsia="en-GB"/>
              </w:rPr>
            </w:pPr>
            <w:r w:rsidRPr="004135C2">
              <w:rPr>
                <w:rFonts w:ascii="Arial" w:eastAsia="Times New Roman" w:hAnsi="Arial" w:cs="Arial"/>
                <w:b/>
                <w:bCs/>
                <w:sz w:val="20"/>
                <w:szCs w:val="20"/>
                <w:lang w:eastAsia="en-GB"/>
              </w:rPr>
              <w:t> </w:t>
            </w:r>
          </w:p>
        </w:tc>
        <w:tc>
          <w:tcPr>
            <w:tcW w:w="957" w:type="dxa"/>
            <w:tcBorders>
              <w:top w:val="triple" w:sz="4" w:space="0" w:color="auto"/>
              <w:left w:val="nil"/>
              <w:bottom w:val="single" w:sz="4" w:space="0" w:color="auto"/>
              <w:right w:val="single" w:sz="4" w:space="0" w:color="auto"/>
            </w:tcBorders>
            <w:shd w:val="clear" w:color="auto" w:fill="B8CCE4" w:themeFill="accent1" w:themeFillTint="66"/>
            <w:vAlign w:val="center"/>
            <w:hideMark/>
          </w:tcPr>
          <w:p w:rsidR="00922FAA" w:rsidRPr="004135C2" w:rsidRDefault="00922FAA" w:rsidP="00A87940">
            <w:pPr>
              <w:spacing w:after="0" w:line="240" w:lineRule="auto"/>
              <w:rPr>
                <w:rFonts w:ascii="Arial" w:eastAsia="Times New Roman" w:hAnsi="Arial" w:cs="Arial"/>
                <w:b/>
                <w:bCs/>
                <w:sz w:val="20"/>
                <w:szCs w:val="20"/>
                <w:lang w:eastAsia="en-GB"/>
              </w:rPr>
            </w:pPr>
            <w:r w:rsidRPr="004135C2">
              <w:rPr>
                <w:rFonts w:ascii="Arial" w:eastAsia="Times New Roman" w:hAnsi="Arial" w:cs="Arial"/>
                <w:b/>
                <w:bCs/>
                <w:sz w:val="20"/>
                <w:szCs w:val="20"/>
                <w:lang w:eastAsia="en-GB"/>
              </w:rPr>
              <w:t xml:space="preserve">Female </w:t>
            </w:r>
          </w:p>
        </w:tc>
        <w:tc>
          <w:tcPr>
            <w:tcW w:w="661" w:type="dxa"/>
            <w:tcBorders>
              <w:top w:val="triple" w:sz="4" w:space="0" w:color="auto"/>
              <w:left w:val="nil"/>
              <w:bottom w:val="single" w:sz="4" w:space="0" w:color="auto"/>
              <w:right w:val="single" w:sz="4" w:space="0" w:color="auto"/>
            </w:tcBorders>
            <w:shd w:val="clear" w:color="auto" w:fill="B8CCE4" w:themeFill="accent1" w:themeFillTint="66"/>
            <w:vAlign w:val="center"/>
            <w:hideMark/>
          </w:tcPr>
          <w:p w:rsidR="00922FAA" w:rsidRPr="004135C2" w:rsidRDefault="00922FAA" w:rsidP="00A87940">
            <w:pPr>
              <w:spacing w:after="0" w:line="240" w:lineRule="auto"/>
              <w:jc w:val="right"/>
              <w:rPr>
                <w:rFonts w:ascii="Arial" w:eastAsia="Times New Roman" w:hAnsi="Arial" w:cs="Arial"/>
                <w:b/>
                <w:bCs/>
                <w:sz w:val="20"/>
                <w:szCs w:val="20"/>
                <w:lang w:eastAsia="en-GB"/>
              </w:rPr>
            </w:pPr>
            <w:r w:rsidRPr="004135C2">
              <w:rPr>
                <w:rFonts w:ascii="Arial" w:eastAsia="Times New Roman" w:hAnsi="Arial" w:cs="Arial"/>
                <w:b/>
                <w:bCs/>
                <w:sz w:val="20"/>
                <w:szCs w:val="20"/>
                <w:lang w:eastAsia="en-GB"/>
              </w:rPr>
              <w:t xml:space="preserve">Male </w:t>
            </w:r>
          </w:p>
        </w:tc>
        <w:tc>
          <w:tcPr>
            <w:tcW w:w="75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22FAA" w:rsidRPr="004135C2" w:rsidRDefault="00922FAA" w:rsidP="00A87940">
            <w:pPr>
              <w:spacing w:after="0" w:line="240" w:lineRule="auto"/>
              <w:rPr>
                <w:rFonts w:ascii="Arial" w:eastAsia="Times New Roman" w:hAnsi="Arial" w:cs="Arial"/>
                <w:b/>
                <w:bCs/>
                <w:sz w:val="20"/>
                <w:szCs w:val="20"/>
                <w:lang w:eastAsia="en-GB"/>
              </w:rPr>
            </w:pPr>
          </w:p>
        </w:tc>
        <w:tc>
          <w:tcPr>
            <w:tcW w:w="802"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922FAA" w:rsidRPr="004135C2" w:rsidRDefault="00922FAA" w:rsidP="00A87940">
            <w:pPr>
              <w:spacing w:after="0" w:line="240" w:lineRule="auto"/>
              <w:rPr>
                <w:rFonts w:ascii="Arial" w:eastAsia="Times New Roman" w:hAnsi="Arial" w:cs="Arial"/>
                <w:b/>
                <w:bCs/>
                <w:sz w:val="20"/>
                <w:szCs w:val="20"/>
                <w:lang w:eastAsia="en-GB"/>
              </w:rPr>
            </w:pPr>
          </w:p>
        </w:tc>
        <w:tc>
          <w:tcPr>
            <w:tcW w:w="851"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922FAA" w:rsidRPr="004135C2" w:rsidRDefault="00922FAA" w:rsidP="00A87940">
            <w:pPr>
              <w:spacing w:after="0" w:line="240" w:lineRule="auto"/>
              <w:rPr>
                <w:rFonts w:ascii="Calibri" w:eastAsia="Times New Roman" w:hAnsi="Calibri" w:cs="Calibri"/>
                <w:b/>
                <w:bCs/>
                <w:lang w:eastAsia="en-GB"/>
              </w:rPr>
            </w:pPr>
          </w:p>
        </w:tc>
        <w:tc>
          <w:tcPr>
            <w:tcW w:w="850" w:type="dxa"/>
            <w:tcBorders>
              <w:top w:val="nil"/>
              <w:left w:val="nil"/>
              <w:bottom w:val="single" w:sz="4" w:space="0" w:color="auto"/>
              <w:right w:val="single" w:sz="4" w:space="0" w:color="auto"/>
            </w:tcBorders>
            <w:shd w:val="clear" w:color="auto" w:fill="B8CCE4" w:themeFill="accent1" w:themeFillTint="66"/>
            <w:noWrap/>
            <w:vAlign w:val="bottom"/>
            <w:hideMark/>
          </w:tcPr>
          <w:p w:rsidR="00922FAA" w:rsidRPr="004135C2" w:rsidRDefault="00922FAA" w:rsidP="00922FAA">
            <w:pPr>
              <w:spacing w:after="0" w:line="240" w:lineRule="auto"/>
              <w:rPr>
                <w:rFonts w:ascii="Arial" w:eastAsia="Times New Roman" w:hAnsi="Arial" w:cs="Arial"/>
                <w:b/>
                <w:bCs/>
                <w:sz w:val="20"/>
                <w:szCs w:val="20"/>
                <w:lang w:eastAsia="en-GB"/>
              </w:rPr>
            </w:pPr>
            <w:r w:rsidRPr="004135C2">
              <w:rPr>
                <w:rFonts w:ascii="Arial" w:eastAsia="Times New Roman" w:hAnsi="Arial" w:cs="Arial"/>
                <w:b/>
                <w:bCs/>
                <w:sz w:val="20"/>
                <w:szCs w:val="20"/>
                <w:lang w:eastAsia="en-GB"/>
              </w:rPr>
              <w:t>Fem</w:t>
            </w:r>
            <w:r>
              <w:rPr>
                <w:rFonts w:ascii="Arial" w:eastAsia="Times New Roman" w:hAnsi="Arial" w:cs="Arial"/>
                <w:b/>
                <w:bCs/>
                <w:sz w:val="20"/>
                <w:szCs w:val="20"/>
                <w:lang w:eastAsia="en-GB"/>
              </w:rPr>
              <w:t xml:space="preserve"> </w:t>
            </w:r>
            <w:r w:rsidRPr="004135C2">
              <w:rPr>
                <w:rFonts w:ascii="Arial" w:eastAsia="Times New Roman" w:hAnsi="Arial" w:cs="Arial"/>
                <w:b/>
                <w:bCs/>
                <w:sz w:val="20"/>
                <w:szCs w:val="20"/>
                <w:lang w:eastAsia="en-GB"/>
              </w:rPr>
              <w:t xml:space="preserve">% </w:t>
            </w:r>
          </w:p>
        </w:tc>
        <w:tc>
          <w:tcPr>
            <w:tcW w:w="899" w:type="dxa"/>
            <w:tcBorders>
              <w:top w:val="nil"/>
              <w:left w:val="nil"/>
              <w:bottom w:val="single" w:sz="4" w:space="0" w:color="auto"/>
              <w:right w:val="single" w:sz="4" w:space="0" w:color="auto"/>
            </w:tcBorders>
            <w:shd w:val="clear" w:color="auto" w:fill="B8CCE4" w:themeFill="accent1" w:themeFillTint="66"/>
            <w:noWrap/>
            <w:vAlign w:val="bottom"/>
            <w:hideMark/>
          </w:tcPr>
          <w:p w:rsidR="00922FAA" w:rsidRPr="004135C2" w:rsidRDefault="00922FAA" w:rsidP="00A87940">
            <w:pPr>
              <w:spacing w:after="0" w:line="240" w:lineRule="auto"/>
              <w:rPr>
                <w:rFonts w:ascii="Arial" w:eastAsia="Times New Roman" w:hAnsi="Arial" w:cs="Arial"/>
                <w:b/>
                <w:bCs/>
                <w:sz w:val="20"/>
                <w:szCs w:val="20"/>
                <w:lang w:eastAsia="en-GB"/>
              </w:rPr>
            </w:pPr>
            <w:r w:rsidRPr="004135C2">
              <w:rPr>
                <w:rFonts w:ascii="Arial" w:eastAsia="Times New Roman" w:hAnsi="Arial" w:cs="Arial"/>
                <w:b/>
                <w:bCs/>
                <w:sz w:val="20"/>
                <w:szCs w:val="20"/>
                <w:lang w:eastAsia="en-GB"/>
              </w:rPr>
              <w:t xml:space="preserve">male % </w:t>
            </w:r>
          </w:p>
        </w:tc>
        <w:tc>
          <w:tcPr>
            <w:tcW w:w="2551" w:type="dxa"/>
            <w:vMerge/>
            <w:tcBorders>
              <w:left w:val="nil"/>
            </w:tcBorders>
            <w:shd w:val="clear" w:color="auto" w:fill="DBE5F1" w:themeFill="accent1" w:themeFillTint="33"/>
          </w:tcPr>
          <w:p w:rsidR="00922FAA" w:rsidRPr="004135C2" w:rsidRDefault="00922FAA" w:rsidP="00A87940">
            <w:pPr>
              <w:spacing w:after="0" w:line="240" w:lineRule="auto"/>
              <w:rPr>
                <w:rFonts w:ascii="Arial" w:eastAsia="Times New Roman" w:hAnsi="Arial" w:cs="Arial"/>
                <w:b/>
                <w:bCs/>
                <w:sz w:val="20"/>
                <w:szCs w:val="20"/>
                <w:lang w:eastAsia="en-GB"/>
              </w:rPr>
            </w:pPr>
          </w:p>
        </w:tc>
      </w:tr>
      <w:tr w:rsidR="00922FAA" w:rsidRPr="004135C2" w:rsidTr="00922FAA">
        <w:trPr>
          <w:trHeight w:val="327"/>
        </w:trPr>
        <w:tc>
          <w:tcPr>
            <w:tcW w:w="1301" w:type="dxa"/>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rsidR="00922FAA" w:rsidRPr="004135C2" w:rsidRDefault="00922FAA" w:rsidP="00A87940">
            <w:pPr>
              <w:spacing w:after="0" w:line="240" w:lineRule="auto"/>
              <w:rPr>
                <w:rFonts w:ascii="Arial" w:eastAsia="Times New Roman" w:hAnsi="Arial" w:cs="Arial"/>
                <w:b/>
                <w:bCs/>
                <w:sz w:val="20"/>
                <w:szCs w:val="20"/>
                <w:lang w:eastAsia="en-GB"/>
              </w:rPr>
            </w:pPr>
            <w:r w:rsidRPr="004135C2">
              <w:rPr>
                <w:rFonts w:ascii="Arial" w:eastAsia="Times New Roman" w:hAnsi="Arial" w:cs="Arial"/>
                <w:b/>
                <w:bCs/>
                <w:sz w:val="20"/>
                <w:szCs w:val="20"/>
                <w:lang w:eastAsia="en-GB"/>
              </w:rPr>
              <w:t>Junior</w:t>
            </w:r>
          </w:p>
        </w:tc>
        <w:tc>
          <w:tcPr>
            <w:tcW w:w="957" w:type="dxa"/>
            <w:tcBorders>
              <w:top w:val="nil"/>
              <w:left w:val="nil"/>
              <w:bottom w:val="single" w:sz="4" w:space="0" w:color="auto"/>
              <w:right w:val="single" w:sz="4" w:space="0" w:color="auto"/>
            </w:tcBorders>
            <w:shd w:val="clear" w:color="000000" w:fill="FFFFFF"/>
            <w:vAlign w:val="center"/>
          </w:tcPr>
          <w:p w:rsidR="00922FAA" w:rsidRPr="004135C2" w:rsidRDefault="00922FAA" w:rsidP="00A8794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245</w:t>
            </w:r>
          </w:p>
        </w:tc>
        <w:tc>
          <w:tcPr>
            <w:tcW w:w="661" w:type="dxa"/>
            <w:tcBorders>
              <w:top w:val="nil"/>
              <w:left w:val="nil"/>
              <w:bottom w:val="single" w:sz="4" w:space="0" w:color="auto"/>
              <w:right w:val="single" w:sz="4" w:space="0" w:color="auto"/>
            </w:tcBorders>
            <w:shd w:val="clear" w:color="000000" w:fill="FFFFFF"/>
            <w:vAlign w:val="center"/>
          </w:tcPr>
          <w:p w:rsidR="00922FAA" w:rsidRPr="004135C2" w:rsidRDefault="00922FAA" w:rsidP="00A8794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273</w:t>
            </w:r>
          </w:p>
        </w:tc>
        <w:tc>
          <w:tcPr>
            <w:tcW w:w="757" w:type="dxa"/>
            <w:tcBorders>
              <w:top w:val="nil"/>
              <w:left w:val="nil"/>
              <w:bottom w:val="single" w:sz="4" w:space="0" w:color="auto"/>
              <w:right w:val="single" w:sz="4" w:space="0" w:color="auto"/>
            </w:tcBorders>
            <w:shd w:val="clear" w:color="auto" w:fill="auto"/>
            <w:noWrap/>
            <w:vAlign w:val="center"/>
          </w:tcPr>
          <w:p w:rsidR="00922FAA" w:rsidRPr="004135C2" w:rsidRDefault="00922FAA" w:rsidP="00A8794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518</w:t>
            </w:r>
          </w:p>
        </w:tc>
        <w:tc>
          <w:tcPr>
            <w:tcW w:w="802" w:type="dxa"/>
            <w:tcBorders>
              <w:top w:val="nil"/>
              <w:left w:val="nil"/>
              <w:bottom w:val="single" w:sz="4" w:space="0" w:color="auto"/>
              <w:right w:val="single" w:sz="4" w:space="0" w:color="auto"/>
            </w:tcBorders>
            <w:shd w:val="clear" w:color="auto" w:fill="auto"/>
            <w:noWrap/>
            <w:vAlign w:val="center"/>
          </w:tcPr>
          <w:p w:rsidR="00922FAA" w:rsidRPr="004135C2" w:rsidRDefault="00922FAA" w:rsidP="00A8794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6.54%</w:t>
            </w:r>
          </w:p>
        </w:tc>
        <w:tc>
          <w:tcPr>
            <w:tcW w:w="851" w:type="dxa"/>
            <w:tcBorders>
              <w:top w:val="nil"/>
              <w:left w:val="nil"/>
              <w:bottom w:val="single" w:sz="8" w:space="0" w:color="auto"/>
              <w:right w:val="single" w:sz="8" w:space="0" w:color="auto"/>
            </w:tcBorders>
            <w:shd w:val="clear" w:color="auto" w:fill="auto"/>
            <w:noWrap/>
            <w:vAlign w:val="center"/>
          </w:tcPr>
          <w:p w:rsidR="00922FAA" w:rsidRPr="004135C2" w:rsidRDefault="00922FAA" w:rsidP="00A87940">
            <w:pPr>
              <w:spacing w:after="0" w:line="240" w:lineRule="auto"/>
              <w:jc w:val="right"/>
              <w:rPr>
                <w:rFonts w:ascii="Calibri" w:eastAsia="Times New Roman" w:hAnsi="Calibri" w:cs="Calibri"/>
                <w:lang w:eastAsia="en-GB"/>
              </w:rPr>
            </w:pPr>
            <w:r>
              <w:rPr>
                <w:rFonts w:ascii="Calibri" w:eastAsia="Times New Roman" w:hAnsi="Calibri" w:cs="Calibri"/>
                <w:lang w:eastAsia="en-GB"/>
              </w:rPr>
              <w:t>£1.72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22FAA" w:rsidRPr="004135C2" w:rsidRDefault="00922FAA" w:rsidP="00A8794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47.3%</w:t>
            </w:r>
          </w:p>
        </w:tc>
        <w:tc>
          <w:tcPr>
            <w:tcW w:w="899" w:type="dxa"/>
            <w:tcBorders>
              <w:top w:val="nil"/>
              <w:left w:val="nil"/>
              <w:bottom w:val="single" w:sz="4" w:space="0" w:color="auto"/>
              <w:right w:val="single" w:sz="4" w:space="0" w:color="auto"/>
            </w:tcBorders>
            <w:shd w:val="clear" w:color="auto" w:fill="auto"/>
            <w:noWrap/>
            <w:vAlign w:val="center"/>
          </w:tcPr>
          <w:p w:rsidR="00922FAA" w:rsidRPr="004135C2" w:rsidRDefault="00922FAA" w:rsidP="00A8794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52.7%</w:t>
            </w:r>
          </w:p>
        </w:tc>
        <w:tc>
          <w:tcPr>
            <w:tcW w:w="2551" w:type="dxa"/>
            <w:vMerge/>
            <w:tcBorders>
              <w:left w:val="nil"/>
            </w:tcBorders>
            <w:shd w:val="clear" w:color="auto" w:fill="DBE5F1" w:themeFill="accent1" w:themeFillTint="33"/>
          </w:tcPr>
          <w:p w:rsidR="00922FAA" w:rsidRDefault="00922FAA" w:rsidP="00A87940">
            <w:pPr>
              <w:spacing w:after="0" w:line="240" w:lineRule="auto"/>
              <w:jc w:val="right"/>
              <w:rPr>
                <w:rFonts w:ascii="Arial" w:eastAsia="Times New Roman" w:hAnsi="Arial" w:cs="Arial"/>
                <w:sz w:val="20"/>
                <w:szCs w:val="20"/>
                <w:lang w:eastAsia="en-GB"/>
              </w:rPr>
            </w:pPr>
          </w:p>
        </w:tc>
      </w:tr>
      <w:tr w:rsidR="00922FAA" w:rsidRPr="004135C2" w:rsidTr="00922FAA">
        <w:trPr>
          <w:trHeight w:val="301"/>
        </w:trPr>
        <w:tc>
          <w:tcPr>
            <w:tcW w:w="1301" w:type="dxa"/>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rsidR="00922FAA" w:rsidRPr="004135C2" w:rsidRDefault="00922FAA" w:rsidP="00A87940">
            <w:pPr>
              <w:spacing w:after="0" w:line="240" w:lineRule="auto"/>
              <w:rPr>
                <w:rFonts w:ascii="Arial" w:eastAsia="Times New Roman" w:hAnsi="Arial" w:cs="Arial"/>
                <w:b/>
                <w:bCs/>
                <w:sz w:val="20"/>
                <w:szCs w:val="20"/>
                <w:lang w:eastAsia="en-GB"/>
              </w:rPr>
            </w:pPr>
            <w:r w:rsidRPr="004135C2">
              <w:rPr>
                <w:rFonts w:ascii="Arial" w:eastAsia="Times New Roman" w:hAnsi="Arial" w:cs="Arial"/>
                <w:b/>
                <w:bCs/>
                <w:sz w:val="20"/>
                <w:szCs w:val="20"/>
                <w:lang w:eastAsia="en-GB"/>
              </w:rPr>
              <w:t>Middle</w:t>
            </w:r>
          </w:p>
        </w:tc>
        <w:tc>
          <w:tcPr>
            <w:tcW w:w="957" w:type="dxa"/>
            <w:tcBorders>
              <w:top w:val="nil"/>
              <w:left w:val="nil"/>
              <w:bottom w:val="single" w:sz="4" w:space="0" w:color="auto"/>
              <w:right w:val="single" w:sz="4" w:space="0" w:color="auto"/>
            </w:tcBorders>
            <w:shd w:val="clear" w:color="000000" w:fill="FFFFFF"/>
            <w:vAlign w:val="center"/>
          </w:tcPr>
          <w:p w:rsidR="00922FAA" w:rsidRPr="004135C2" w:rsidRDefault="00922FAA" w:rsidP="00A8794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38</w:t>
            </w:r>
          </w:p>
        </w:tc>
        <w:tc>
          <w:tcPr>
            <w:tcW w:w="661" w:type="dxa"/>
            <w:tcBorders>
              <w:top w:val="nil"/>
              <w:left w:val="nil"/>
              <w:bottom w:val="single" w:sz="4" w:space="0" w:color="auto"/>
              <w:right w:val="single" w:sz="4" w:space="0" w:color="auto"/>
            </w:tcBorders>
            <w:shd w:val="clear" w:color="000000" w:fill="FFFFFF"/>
            <w:vAlign w:val="center"/>
          </w:tcPr>
          <w:p w:rsidR="00922FAA" w:rsidRPr="004135C2" w:rsidRDefault="00922FAA" w:rsidP="00A8794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60</w:t>
            </w:r>
          </w:p>
        </w:tc>
        <w:tc>
          <w:tcPr>
            <w:tcW w:w="757" w:type="dxa"/>
            <w:tcBorders>
              <w:top w:val="nil"/>
              <w:left w:val="nil"/>
              <w:bottom w:val="single" w:sz="4" w:space="0" w:color="auto"/>
              <w:right w:val="single" w:sz="4" w:space="0" w:color="auto"/>
            </w:tcBorders>
            <w:shd w:val="clear" w:color="auto" w:fill="auto"/>
            <w:noWrap/>
            <w:vAlign w:val="center"/>
          </w:tcPr>
          <w:p w:rsidR="00922FAA" w:rsidRPr="004135C2" w:rsidRDefault="00922FAA" w:rsidP="00A8794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98</w:t>
            </w:r>
          </w:p>
        </w:tc>
        <w:tc>
          <w:tcPr>
            <w:tcW w:w="802" w:type="dxa"/>
            <w:tcBorders>
              <w:top w:val="nil"/>
              <w:left w:val="nil"/>
              <w:bottom w:val="single" w:sz="4" w:space="0" w:color="auto"/>
              <w:right w:val="single" w:sz="4" w:space="0" w:color="auto"/>
            </w:tcBorders>
            <w:shd w:val="clear" w:color="auto" w:fill="auto"/>
            <w:noWrap/>
            <w:vAlign w:val="center"/>
          </w:tcPr>
          <w:p w:rsidR="00922FAA" w:rsidRPr="004135C2" w:rsidRDefault="00922FAA" w:rsidP="001E3D8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3.29% </w:t>
            </w:r>
          </w:p>
        </w:tc>
        <w:tc>
          <w:tcPr>
            <w:tcW w:w="851" w:type="dxa"/>
            <w:tcBorders>
              <w:top w:val="nil"/>
              <w:left w:val="nil"/>
              <w:bottom w:val="single" w:sz="8" w:space="0" w:color="auto"/>
              <w:right w:val="single" w:sz="8" w:space="0" w:color="auto"/>
            </w:tcBorders>
            <w:shd w:val="clear" w:color="auto" w:fill="auto"/>
            <w:noWrap/>
            <w:vAlign w:val="center"/>
          </w:tcPr>
          <w:p w:rsidR="00922FAA" w:rsidRPr="004135C2" w:rsidRDefault="00922FAA" w:rsidP="00A87940">
            <w:pPr>
              <w:spacing w:after="0" w:line="240" w:lineRule="auto"/>
              <w:jc w:val="right"/>
              <w:rPr>
                <w:rFonts w:ascii="Calibri" w:eastAsia="Times New Roman" w:hAnsi="Calibri" w:cs="Calibri"/>
                <w:lang w:eastAsia="en-GB"/>
              </w:rPr>
            </w:pPr>
            <w:r>
              <w:rPr>
                <w:rFonts w:ascii="Calibri" w:eastAsia="Times New Roman" w:hAnsi="Calibri" w:cs="Calibri"/>
                <w:lang w:eastAsia="en-GB"/>
              </w:rPr>
              <w:t>£1.14</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22FAA" w:rsidRPr="004135C2" w:rsidRDefault="00922FAA" w:rsidP="00A8794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38.8%</w:t>
            </w:r>
          </w:p>
        </w:tc>
        <w:tc>
          <w:tcPr>
            <w:tcW w:w="899" w:type="dxa"/>
            <w:tcBorders>
              <w:top w:val="nil"/>
              <w:left w:val="nil"/>
              <w:bottom w:val="single" w:sz="4" w:space="0" w:color="auto"/>
              <w:right w:val="single" w:sz="4" w:space="0" w:color="auto"/>
            </w:tcBorders>
            <w:shd w:val="clear" w:color="auto" w:fill="auto"/>
            <w:noWrap/>
            <w:vAlign w:val="center"/>
          </w:tcPr>
          <w:p w:rsidR="00922FAA" w:rsidRPr="004135C2" w:rsidRDefault="00922FAA" w:rsidP="00A8794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61.2%</w:t>
            </w:r>
          </w:p>
        </w:tc>
        <w:tc>
          <w:tcPr>
            <w:tcW w:w="2551" w:type="dxa"/>
            <w:vMerge/>
            <w:tcBorders>
              <w:left w:val="nil"/>
            </w:tcBorders>
            <w:shd w:val="clear" w:color="auto" w:fill="DBE5F1" w:themeFill="accent1" w:themeFillTint="33"/>
          </w:tcPr>
          <w:p w:rsidR="00922FAA" w:rsidRDefault="00922FAA" w:rsidP="00A87940">
            <w:pPr>
              <w:spacing w:after="0" w:line="240" w:lineRule="auto"/>
              <w:jc w:val="right"/>
              <w:rPr>
                <w:rFonts w:ascii="Arial" w:eastAsia="Times New Roman" w:hAnsi="Arial" w:cs="Arial"/>
                <w:sz w:val="20"/>
                <w:szCs w:val="20"/>
                <w:lang w:eastAsia="en-GB"/>
              </w:rPr>
            </w:pPr>
          </w:p>
        </w:tc>
      </w:tr>
      <w:tr w:rsidR="00922FAA" w:rsidRPr="004135C2" w:rsidTr="00922FAA">
        <w:trPr>
          <w:trHeight w:val="262"/>
        </w:trPr>
        <w:tc>
          <w:tcPr>
            <w:tcW w:w="1301" w:type="dxa"/>
            <w:tcBorders>
              <w:top w:val="single" w:sz="4" w:space="0" w:color="auto"/>
              <w:left w:val="single" w:sz="4" w:space="0" w:color="auto"/>
              <w:bottom w:val="single" w:sz="4" w:space="0" w:color="auto"/>
              <w:right w:val="single" w:sz="4" w:space="0" w:color="auto"/>
            </w:tcBorders>
            <w:shd w:val="clear" w:color="000000" w:fill="DBE5F1" w:themeFill="accent1" w:themeFillTint="33"/>
            <w:vAlign w:val="center"/>
            <w:hideMark/>
          </w:tcPr>
          <w:p w:rsidR="00922FAA" w:rsidRPr="004135C2" w:rsidRDefault="00922FAA" w:rsidP="00A87940">
            <w:pPr>
              <w:spacing w:after="0" w:line="240" w:lineRule="auto"/>
              <w:rPr>
                <w:rFonts w:ascii="Arial" w:eastAsia="Times New Roman" w:hAnsi="Arial" w:cs="Arial"/>
                <w:b/>
                <w:bCs/>
                <w:sz w:val="20"/>
                <w:szCs w:val="20"/>
                <w:lang w:eastAsia="en-GB"/>
              </w:rPr>
            </w:pPr>
            <w:r w:rsidRPr="004135C2">
              <w:rPr>
                <w:rFonts w:ascii="Arial" w:eastAsia="Times New Roman" w:hAnsi="Arial" w:cs="Arial"/>
                <w:b/>
                <w:bCs/>
                <w:sz w:val="20"/>
                <w:szCs w:val="20"/>
                <w:lang w:eastAsia="en-GB"/>
              </w:rPr>
              <w:t>Consultant</w:t>
            </w:r>
          </w:p>
        </w:tc>
        <w:tc>
          <w:tcPr>
            <w:tcW w:w="957" w:type="dxa"/>
            <w:tcBorders>
              <w:top w:val="nil"/>
              <w:left w:val="nil"/>
              <w:bottom w:val="single" w:sz="4" w:space="0" w:color="auto"/>
              <w:right w:val="single" w:sz="4" w:space="0" w:color="auto"/>
            </w:tcBorders>
            <w:shd w:val="clear" w:color="000000" w:fill="FFFFFF"/>
            <w:vAlign w:val="center"/>
          </w:tcPr>
          <w:p w:rsidR="00922FAA" w:rsidRPr="004135C2" w:rsidRDefault="00922FAA" w:rsidP="00922FA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170 </w:t>
            </w:r>
          </w:p>
        </w:tc>
        <w:tc>
          <w:tcPr>
            <w:tcW w:w="661" w:type="dxa"/>
            <w:tcBorders>
              <w:top w:val="nil"/>
              <w:left w:val="nil"/>
              <w:bottom w:val="single" w:sz="4" w:space="0" w:color="auto"/>
              <w:right w:val="single" w:sz="4" w:space="0" w:color="auto"/>
            </w:tcBorders>
            <w:shd w:val="clear" w:color="000000" w:fill="FFFFFF"/>
            <w:vAlign w:val="center"/>
          </w:tcPr>
          <w:p w:rsidR="00922FAA" w:rsidRPr="004135C2" w:rsidRDefault="00922FAA" w:rsidP="00922FAA">
            <w:pPr>
              <w:spacing w:after="0" w:line="240" w:lineRule="auto"/>
              <w:jc w:val="right"/>
              <w:rPr>
                <w:rFonts w:ascii="Arial" w:eastAsia="Times New Roman" w:hAnsi="Arial" w:cs="Arial"/>
                <w:sz w:val="20"/>
                <w:szCs w:val="20"/>
                <w:lang w:eastAsia="en-GB"/>
              </w:rPr>
            </w:pPr>
            <w:r w:rsidRPr="004135C2">
              <w:rPr>
                <w:rFonts w:ascii="Arial" w:eastAsia="Times New Roman" w:hAnsi="Arial" w:cs="Arial"/>
                <w:sz w:val="20"/>
                <w:szCs w:val="20"/>
                <w:lang w:eastAsia="en-GB"/>
              </w:rPr>
              <w:t>27</w:t>
            </w:r>
            <w:r>
              <w:rPr>
                <w:rFonts w:ascii="Arial" w:eastAsia="Times New Roman" w:hAnsi="Arial" w:cs="Arial"/>
                <w:sz w:val="20"/>
                <w:szCs w:val="20"/>
                <w:lang w:eastAsia="en-GB"/>
              </w:rPr>
              <w:t>0</w:t>
            </w:r>
          </w:p>
        </w:tc>
        <w:tc>
          <w:tcPr>
            <w:tcW w:w="757" w:type="dxa"/>
            <w:tcBorders>
              <w:top w:val="nil"/>
              <w:left w:val="nil"/>
              <w:bottom w:val="single" w:sz="4" w:space="0" w:color="auto"/>
              <w:right w:val="single" w:sz="4" w:space="0" w:color="auto"/>
            </w:tcBorders>
            <w:shd w:val="clear" w:color="auto" w:fill="auto"/>
            <w:noWrap/>
            <w:vAlign w:val="center"/>
          </w:tcPr>
          <w:p w:rsidR="00922FAA" w:rsidRPr="004135C2" w:rsidRDefault="00922FAA" w:rsidP="00922FAA">
            <w:pPr>
              <w:spacing w:after="0" w:line="240" w:lineRule="auto"/>
              <w:jc w:val="right"/>
              <w:rPr>
                <w:rFonts w:ascii="Arial" w:eastAsia="Times New Roman" w:hAnsi="Arial" w:cs="Arial"/>
                <w:sz w:val="20"/>
                <w:szCs w:val="20"/>
                <w:lang w:eastAsia="en-GB"/>
              </w:rPr>
            </w:pPr>
            <w:r w:rsidRPr="004135C2">
              <w:rPr>
                <w:rFonts w:ascii="Arial" w:eastAsia="Times New Roman" w:hAnsi="Arial" w:cs="Arial"/>
                <w:sz w:val="20"/>
                <w:szCs w:val="20"/>
                <w:lang w:eastAsia="en-GB"/>
              </w:rPr>
              <w:t>4</w:t>
            </w:r>
            <w:r>
              <w:rPr>
                <w:rFonts w:ascii="Arial" w:eastAsia="Times New Roman" w:hAnsi="Arial" w:cs="Arial"/>
                <w:sz w:val="20"/>
                <w:szCs w:val="20"/>
                <w:lang w:eastAsia="en-GB"/>
              </w:rPr>
              <w:t>40</w:t>
            </w:r>
          </w:p>
        </w:tc>
        <w:tc>
          <w:tcPr>
            <w:tcW w:w="802" w:type="dxa"/>
            <w:tcBorders>
              <w:top w:val="nil"/>
              <w:left w:val="nil"/>
              <w:bottom w:val="single" w:sz="4" w:space="0" w:color="auto"/>
              <w:right w:val="single" w:sz="4" w:space="0" w:color="auto"/>
            </w:tcBorders>
            <w:shd w:val="clear" w:color="auto" w:fill="auto"/>
            <w:noWrap/>
            <w:vAlign w:val="center"/>
          </w:tcPr>
          <w:p w:rsidR="00922FAA" w:rsidRPr="004135C2" w:rsidRDefault="00922FAA" w:rsidP="00A8794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5.10%</w:t>
            </w:r>
          </w:p>
        </w:tc>
        <w:tc>
          <w:tcPr>
            <w:tcW w:w="851" w:type="dxa"/>
            <w:tcBorders>
              <w:top w:val="nil"/>
              <w:left w:val="nil"/>
              <w:bottom w:val="single" w:sz="4" w:space="0" w:color="auto"/>
              <w:right w:val="single" w:sz="8" w:space="0" w:color="auto"/>
            </w:tcBorders>
            <w:shd w:val="clear" w:color="auto" w:fill="auto"/>
            <w:noWrap/>
            <w:vAlign w:val="center"/>
          </w:tcPr>
          <w:p w:rsidR="00922FAA" w:rsidRPr="004135C2" w:rsidRDefault="00922FAA" w:rsidP="00A87940">
            <w:pPr>
              <w:spacing w:after="0" w:line="240" w:lineRule="auto"/>
              <w:jc w:val="right"/>
              <w:rPr>
                <w:rFonts w:ascii="Calibri" w:eastAsia="Times New Roman" w:hAnsi="Calibri" w:cs="Calibri"/>
                <w:lang w:eastAsia="en-GB"/>
              </w:rPr>
            </w:pPr>
            <w:r>
              <w:rPr>
                <w:rFonts w:ascii="Calibri" w:eastAsia="Times New Roman" w:hAnsi="Calibri" w:cs="Calibri"/>
                <w:lang w:eastAsia="en-GB"/>
              </w:rPr>
              <w:t>£2.65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22FAA" w:rsidRPr="004135C2" w:rsidRDefault="00922FAA" w:rsidP="00922FA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38.6%</w:t>
            </w:r>
          </w:p>
        </w:tc>
        <w:tc>
          <w:tcPr>
            <w:tcW w:w="899" w:type="dxa"/>
            <w:tcBorders>
              <w:top w:val="nil"/>
              <w:left w:val="nil"/>
              <w:bottom w:val="single" w:sz="4" w:space="0" w:color="auto"/>
              <w:right w:val="single" w:sz="4" w:space="0" w:color="auto"/>
            </w:tcBorders>
            <w:shd w:val="clear" w:color="auto" w:fill="auto"/>
            <w:noWrap/>
            <w:vAlign w:val="center"/>
          </w:tcPr>
          <w:p w:rsidR="00922FAA" w:rsidRPr="004135C2" w:rsidRDefault="00922FAA" w:rsidP="00922FA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61.4%</w:t>
            </w:r>
          </w:p>
        </w:tc>
        <w:tc>
          <w:tcPr>
            <w:tcW w:w="2551" w:type="dxa"/>
            <w:vMerge/>
            <w:tcBorders>
              <w:left w:val="nil"/>
            </w:tcBorders>
            <w:shd w:val="clear" w:color="auto" w:fill="DBE5F1" w:themeFill="accent1" w:themeFillTint="33"/>
          </w:tcPr>
          <w:p w:rsidR="00922FAA" w:rsidRDefault="00922FAA" w:rsidP="00A87940">
            <w:pPr>
              <w:spacing w:after="0" w:line="240" w:lineRule="auto"/>
              <w:jc w:val="right"/>
              <w:rPr>
                <w:rFonts w:ascii="Arial" w:eastAsia="Times New Roman" w:hAnsi="Arial" w:cs="Arial"/>
                <w:sz w:val="20"/>
                <w:szCs w:val="20"/>
                <w:lang w:eastAsia="en-GB"/>
              </w:rPr>
            </w:pPr>
          </w:p>
        </w:tc>
      </w:tr>
      <w:tr w:rsidR="00922FAA" w:rsidRPr="004135C2" w:rsidTr="00922FAA">
        <w:trPr>
          <w:trHeight w:val="262"/>
        </w:trPr>
        <w:tc>
          <w:tcPr>
            <w:tcW w:w="13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22FAA" w:rsidRPr="004135C2" w:rsidRDefault="00922FAA" w:rsidP="00A87940">
            <w:pPr>
              <w:spacing w:after="0" w:line="240" w:lineRule="auto"/>
              <w:rPr>
                <w:rFonts w:ascii="Arial" w:eastAsia="Times New Roman" w:hAnsi="Arial" w:cs="Arial"/>
                <w:b/>
                <w:bCs/>
                <w:sz w:val="20"/>
                <w:szCs w:val="20"/>
                <w:lang w:eastAsia="en-GB"/>
              </w:rPr>
            </w:pPr>
          </w:p>
        </w:tc>
        <w:tc>
          <w:tcPr>
            <w:tcW w:w="95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22FAA" w:rsidRDefault="00922FAA" w:rsidP="00922FA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453</w:t>
            </w:r>
          </w:p>
        </w:tc>
        <w:tc>
          <w:tcPr>
            <w:tcW w:w="6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22FAA" w:rsidRPr="004135C2" w:rsidRDefault="00922FAA" w:rsidP="00922FA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603</w:t>
            </w:r>
          </w:p>
        </w:tc>
        <w:tc>
          <w:tcPr>
            <w:tcW w:w="75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922FAA" w:rsidRPr="004135C2" w:rsidRDefault="00922FAA" w:rsidP="00922FAA">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1056</w:t>
            </w:r>
          </w:p>
        </w:tc>
        <w:tc>
          <w:tcPr>
            <w:tcW w:w="80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922FAA" w:rsidRDefault="00922FAA" w:rsidP="00A87940">
            <w:pPr>
              <w:spacing w:after="0" w:line="240" w:lineRule="auto"/>
              <w:jc w:val="right"/>
              <w:rPr>
                <w:rFonts w:ascii="Arial" w:eastAsia="Times New Roman" w:hAnsi="Arial" w:cs="Arial"/>
                <w:sz w:val="20"/>
                <w:szCs w:val="20"/>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922FAA" w:rsidRDefault="00922FAA" w:rsidP="00A87940">
            <w:pPr>
              <w:spacing w:after="0" w:line="240" w:lineRule="auto"/>
              <w:jc w:val="right"/>
              <w:rPr>
                <w:rFonts w:ascii="Calibri" w:eastAsia="Times New Roman" w:hAnsi="Calibri" w:cs="Calibri"/>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922FAA" w:rsidRDefault="00922FAA" w:rsidP="00922FAA">
            <w:pPr>
              <w:spacing w:after="0" w:line="240" w:lineRule="auto"/>
              <w:jc w:val="right"/>
              <w:rPr>
                <w:rFonts w:ascii="Arial" w:eastAsia="Times New Roman" w:hAnsi="Arial" w:cs="Arial"/>
                <w:sz w:val="20"/>
                <w:szCs w:val="20"/>
                <w:lang w:eastAsia="en-GB"/>
              </w:rPr>
            </w:pPr>
          </w:p>
        </w:tc>
        <w:tc>
          <w:tcPr>
            <w:tcW w:w="89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922FAA" w:rsidRDefault="00922FAA" w:rsidP="00922FAA">
            <w:pPr>
              <w:spacing w:after="0" w:line="240" w:lineRule="auto"/>
              <w:jc w:val="right"/>
              <w:rPr>
                <w:rFonts w:ascii="Arial" w:eastAsia="Times New Roman" w:hAnsi="Arial" w:cs="Arial"/>
                <w:sz w:val="20"/>
                <w:szCs w:val="20"/>
                <w:lang w:eastAsia="en-GB"/>
              </w:rPr>
            </w:pPr>
          </w:p>
        </w:tc>
        <w:tc>
          <w:tcPr>
            <w:tcW w:w="2551" w:type="dxa"/>
            <w:vMerge/>
            <w:tcBorders>
              <w:left w:val="nil"/>
            </w:tcBorders>
            <w:shd w:val="clear" w:color="auto" w:fill="DBE5F1" w:themeFill="accent1" w:themeFillTint="33"/>
          </w:tcPr>
          <w:p w:rsidR="00922FAA" w:rsidRDefault="00922FAA" w:rsidP="00A87940">
            <w:pPr>
              <w:spacing w:after="0" w:line="240" w:lineRule="auto"/>
              <w:jc w:val="right"/>
              <w:rPr>
                <w:rFonts w:ascii="Arial" w:eastAsia="Times New Roman" w:hAnsi="Arial" w:cs="Arial"/>
                <w:sz w:val="20"/>
                <w:szCs w:val="20"/>
                <w:lang w:eastAsia="en-GB"/>
              </w:rPr>
            </w:pPr>
          </w:p>
        </w:tc>
      </w:tr>
    </w:tbl>
    <w:p w:rsidR="00F639D8" w:rsidRPr="00922FAA" w:rsidRDefault="009A7D73" w:rsidP="00922FAA">
      <w:pPr>
        <w:pStyle w:val="ListParagraph"/>
        <w:numPr>
          <w:ilvl w:val="0"/>
          <w:numId w:val="1"/>
        </w:numPr>
        <w:spacing w:before="240" w:line="240" w:lineRule="auto"/>
        <w:rPr>
          <w:rFonts w:ascii="Arial" w:hAnsi="Arial" w:cs="Arial"/>
        </w:rPr>
      </w:pPr>
      <w:r w:rsidRPr="00922FAA">
        <w:rPr>
          <w:rFonts w:ascii="Arial" w:hAnsi="Arial" w:cs="Arial"/>
        </w:rPr>
        <w:t>Consultants a</w:t>
      </w:r>
      <w:r w:rsidR="00F639D8" w:rsidRPr="00922FAA">
        <w:rPr>
          <w:rFonts w:ascii="Arial" w:hAnsi="Arial" w:cs="Arial"/>
        </w:rPr>
        <w:t>r</w:t>
      </w:r>
      <w:r w:rsidR="00A02E9C" w:rsidRPr="00922FAA">
        <w:rPr>
          <w:rFonts w:ascii="Arial" w:hAnsi="Arial" w:cs="Arial"/>
        </w:rPr>
        <w:t xml:space="preserve">e predominantly male </w:t>
      </w:r>
      <w:r w:rsidR="00F639D8" w:rsidRPr="00922FAA">
        <w:rPr>
          <w:rFonts w:ascii="Arial" w:hAnsi="Arial" w:cs="Arial"/>
        </w:rPr>
        <w:t xml:space="preserve">and amongst the </w:t>
      </w:r>
      <w:r w:rsidR="00B23666" w:rsidRPr="00922FAA">
        <w:rPr>
          <w:rFonts w:ascii="Arial" w:hAnsi="Arial" w:cs="Arial"/>
        </w:rPr>
        <w:t xml:space="preserve">highest paid roles in the </w:t>
      </w:r>
      <w:r w:rsidRPr="00922FAA">
        <w:rPr>
          <w:rFonts w:ascii="Arial" w:hAnsi="Arial" w:cs="Arial"/>
        </w:rPr>
        <w:t xml:space="preserve">NHS </w:t>
      </w:r>
      <w:r w:rsidR="00B23666" w:rsidRPr="00922FAA">
        <w:rPr>
          <w:rFonts w:ascii="Arial" w:hAnsi="Arial" w:cs="Arial"/>
        </w:rPr>
        <w:t>Trust</w:t>
      </w:r>
      <w:r w:rsidRPr="00922FAA">
        <w:rPr>
          <w:rFonts w:ascii="Arial" w:hAnsi="Arial" w:cs="Arial"/>
        </w:rPr>
        <w:t>.</w:t>
      </w:r>
    </w:p>
    <w:p w:rsidR="009A7D73" w:rsidRDefault="009A7D73" w:rsidP="004135C2">
      <w:pPr>
        <w:pStyle w:val="ListParagraph"/>
        <w:numPr>
          <w:ilvl w:val="0"/>
          <w:numId w:val="1"/>
        </w:numPr>
        <w:spacing w:after="0"/>
        <w:rPr>
          <w:rFonts w:ascii="Arial" w:hAnsi="Arial" w:cs="Arial"/>
        </w:rPr>
      </w:pPr>
      <w:r w:rsidRPr="00922FAA">
        <w:rPr>
          <w:rFonts w:ascii="Arial" w:hAnsi="Arial" w:cs="Arial"/>
        </w:rPr>
        <w:t xml:space="preserve">More senior long serving consultants are typically male </w:t>
      </w:r>
    </w:p>
    <w:p w:rsidR="00F639D8" w:rsidRPr="00922FAA" w:rsidRDefault="009A7D73" w:rsidP="00922FAA">
      <w:pPr>
        <w:pStyle w:val="ListParagraph"/>
        <w:numPr>
          <w:ilvl w:val="0"/>
          <w:numId w:val="1"/>
        </w:numPr>
        <w:spacing w:after="0" w:line="240" w:lineRule="auto"/>
        <w:rPr>
          <w:rFonts w:ascii="Arial" w:hAnsi="Arial" w:cs="Arial"/>
        </w:rPr>
      </w:pPr>
      <w:r w:rsidRPr="00922FAA">
        <w:rPr>
          <w:rFonts w:ascii="Arial" w:hAnsi="Arial" w:cs="Arial"/>
        </w:rPr>
        <w:t>Only</w:t>
      </w:r>
      <w:r w:rsidR="00F639D8" w:rsidRPr="00922FAA">
        <w:rPr>
          <w:rFonts w:ascii="Arial" w:hAnsi="Arial" w:cs="Arial"/>
          <w:b/>
        </w:rPr>
        <w:t xml:space="preserve"> </w:t>
      </w:r>
      <w:r w:rsidR="00F639D8" w:rsidRPr="00922FAA">
        <w:rPr>
          <w:rFonts w:ascii="Arial" w:hAnsi="Arial" w:cs="Arial"/>
        </w:rPr>
        <w:t xml:space="preserve">consultants </w:t>
      </w:r>
      <w:r w:rsidRPr="00922FAA">
        <w:rPr>
          <w:rFonts w:ascii="Arial" w:hAnsi="Arial" w:cs="Arial"/>
        </w:rPr>
        <w:t>can be awarded a bonus</w:t>
      </w:r>
      <w:r w:rsidRPr="00922FAA">
        <w:rPr>
          <w:rStyle w:val="FootnoteReference"/>
          <w:rFonts w:ascii="Arial" w:hAnsi="Arial" w:cs="Arial"/>
        </w:rPr>
        <w:footnoteReference w:id="4"/>
      </w:r>
      <w:r w:rsidRPr="00922FAA">
        <w:rPr>
          <w:rFonts w:ascii="Arial" w:hAnsi="Arial" w:cs="Arial"/>
        </w:rPr>
        <w:t xml:space="preserve"> </w:t>
      </w:r>
    </w:p>
    <w:p w:rsidR="009A7D73" w:rsidRPr="00300CA2" w:rsidRDefault="009A7D73" w:rsidP="004135C2">
      <w:pPr>
        <w:pStyle w:val="ListParagraph"/>
        <w:numPr>
          <w:ilvl w:val="0"/>
          <w:numId w:val="1"/>
        </w:numPr>
        <w:rPr>
          <w:rFonts w:ascii="Arial" w:hAnsi="Arial" w:cs="Arial"/>
        </w:rPr>
      </w:pPr>
      <w:r w:rsidRPr="00300CA2">
        <w:rPr>
          <w:rFonts w:ascii="Arial" w:hAnsi="Arial" w:cs="Arial"/>
        </w:rPr>
        <w:t>Pay and bonus are incremental to length of service and so male consultants with role tenure will have higher pay and higher bonuses</w:t>
      </w:r>
    </w:p>
    <w:p w:rsidR="009A7D73" w:rsidRPr="00300CA2" w:rsidRDefault="009A7D73" w:rsidP="004135C2">
      <w:pPr>
        <w:pStyle w:val="ListParagraph"/>
        <w:numPr>
          <w:ilvl w:val="0"/>
          <w:numId w:val="1"/>
        </w:numPr>
        <w:rPr>
          <w:rFonts w:ascii="Arial" w:hAnsi="Arial" w:cs="Arial"/>
        </w:rPr>
      </w:pPr>
      <w:r w:rsidRPr="00300CA2">
        <w:rPr>
          <w:rFonts w:ascii="Arial" w:hAnsi="Arial" w:cs="Arial"/>
        </w:rPr>
        <w:t xml:space="preserve">New consultants of both genders start at the lowest level of bonus paid so where there are more female consultants </w:t>
      </w:r>
      <w:r w:rsidR="00B24F5D" w:rsidRPr="00300CA2">
        <w:rPr>
          <w:rFonts w:ascii="Arial" w:hAnsi="Arial" w:cs="Arial"/>
        </w:rPr>
        <w:t>more role tenure is needed to achieve a higher bonus</w:t>
      </w:r>
    </w:p>
    <w:p w:rsidR="00F639D8" w:rsidRPr="00300CA2" w:rsidRDefault="00F639D8" w:rsidP="004135C2">
      <w:pPr>
        <w:pStyle w:val="ListParagraph"/>
        <w:numPr>
          <w:ilvl w:val="0"/>
          <w:numId w:val="1"/>
        </w:numPr>
        <w:rPr>
          <w:rFonts w:ascii="Arial" w:hAnsi="Arial" w:cs="Arial"/>
        </w:rPr>
      </w:pPr>
      <w:r w:rsidRPr="00300CA2">
        <w:rPr>
          <w:rFonts w:ascii="Arial" w:hAnsi="Arial" w:cs="Arial"/>
        </w:rPr>
        <w:t xml:space="preserve"> </w:t>
      </w:r>
      <w:r w:rsidR="00B23666" w:rsidRPr="00300CA2">
        <w:rPr>
          <w:rFonts w:ascii="Arial" w:hAnsi="Arial" w:cs="Arial"/>
        </w:rPr>
        <w:t xml:space="preserve">(CEAs) are consolidated into the basic pay calculations. </w:t>
      </w:r>
    </w:p>
    <w:p w:rsidR="008B2E31" w:rsidRPr="00300CA2" w:rsidRDefault="008B2E31" w:rsidP="00F639D8">
      <w:pPr>
        <w:rPr>
          <w:rFonts w:ascii="Arial" w:hAnsi="Arial" w:cs="Arial"/>
        </w:rPr>
      </w:pPr>
      <w:r w:rsidRPr="00300CA2">
        <w:rPr>
          <w:rFonts w:ascii="Arial" w:hAnsi="Arial" w:cs="Arial"/>
        </w:rPr>
        <w:t xml:space="preserve">At BHFT </w:t>
      </w:r>
      <w:r w:rsidR="00300CA2" w:rsidRPr="00300CA2">
        <w:rPr>
          <w:rFonts w:ascii="Arial" w:hAnsi="Arial" w:cs="Arial"/>
        </w:rPr>
        <w:t xml:space="preserve">in 2022 </w:t>
      </w:r>
      <w:r w:rsidR="00AF5CE3" w:rsidRPr="00300CA2">
        <w:rPr>
          <w:rFonts w:ascii="Arial" w:hAnsi="Arial" w:cs="Arial"/>
        </w:rPr>
        <w:t xml:space="preserve">Females make up </w:t>
      </w:r>
      <w:r w:rsidR="00300CA2" w:rsidRPr="00300CA2">
        <w:rPr>
          <w:rFonts w:ascii="Arial" w:hAnsi="Arial" w:cs="Arial"/>
        </w:rPr>
        <w:t xml:space="preserve">47.3% </w:t>
      </w:r>
      <w:r w:rsidR="00AF5CE3" w:rsidRPr="00300CA2">
        <w:rPr>
          <w:rFonts w:ascii="Arial" w:hAnsi="Arial" w:cs="Arial"/>
        </w:rPr>
        <w:t xml:space="preserve">of junior doctors, </w:t>
      </w:r>
      <w:r w:rsidR="00300CA2" w:rsidRPr="00300CA2">
        <w:rPr>
          <w:rFonts w:ascii="Arial" w:hAnsi="Arial" w:cs="Arial"/>
        </w:rPr>
        <w:t xml:space="preserve">and only 38.8% </w:t>
      </w:r>
      <w:r w:rsidR="00AF5CE3" w:rsidRPr="00300CA2">
        <w:rPr>
          <w:rFonts w:ascii="Arial" w:hAnsi="Arial" w:cs="Arial"/>
        </w:rPr>
        <w:t xml:space="preserve">of middle </w:t>
      </w:r>
      <w:r w:rsidR="00300CA2" w:rsidRPr="00300CA2">
        <w:rPr>
          <w:rFonts w:ascii="Arial" w:hAnsi="Arial" w:cs="Arial"/>
        </w:rPr>
        <w:t>/</w:t>
      </w:r>
      <w:r w:rsidR="00AF5CE3" w:rsidRPr="00300CA2">
        <w:rPr>
          <w:rFonts w:ascii="Arial" w:hAnsi="Arial" w:cs="Arial"/>
        </w:rPr>
        <w:t xml:space="preserve"> 38.6% of Consultants.</w:t>
      </w:r>
      <w:r w:rsidR="00B24F5D" w:rsidRPr="00300CA2">
        <w:rPr>
          <w:rFonts w:ascii="Arial" w:hAnsi="Arial" w:cs="Arial"/>
        </w:rPr>
        <w:t xml:space="preserve"> </w:t>
      </w:r>
      <w:r w:rsidR="00300CA2">
        <w:rPr>
          <w:rFonts w:ascii="Arial" w:hAnsi="Arial" w:cs="Arial"/>
        </w:rPr>
        <w:t>Are these levels</w:t>
      </w:r>
      <w:r w:rsidR="00B24F5D" w:rsidRPr="00300CA2">
        <w:rPr>
          <w:rFonts w:ascii="Arial" w:hAnsi="Arial" w:cs="Arial"/>
        </w:rPr>
        <w:t xml:space="preserve"> part of </w:t>
      </w:r>
      <w:r w:rsidR="00300CA2">
        <w:rPr>
          <w:rFonts w:ascii="Arial" w:hAnsi="Arial" w:cs="Arial"/>
        </w:rPr>
        <w:t xml:space="preserve">a </w:t>
      </w:r>
      <w:r w:rsidR="00B24F5D" w:rsidRPr="00300CA2">
        <w:rPr>
          <w:rFonts w:ascii="Arial" w:hAnsi="Arial" w:cs="Arial"/>
        </w:rPr>
        <w:t>caring</w:t>
      </w:r>
      <w:r w:rsidR="00300CA2">
        <w:rPr>
          <w:rFonts w:ascii="Arial" w:hAnsi="Arial" w:cs="Arial"/>
        </w:rPr>
        <w:t xml:space="preserve"> and </w:t>
      </w:r>
      <w:r w:rsidRPr="00300CA2">
        <w:rPr>
          <w:rFonts w:ascii="Arial" w:hAnsi="Arial" w:cs="Arial"/>
        </w:rPr>
        <w:t>flexibility issue</w:t>
      </w:r>
      <w:r w:rsidR="00300CA2">
        <w:rPr>
          <w:rFonts w:ascii="Arial" w:hAnsi="Arial" w:cs="Arial"/>
        </w:rPr>
        <w:t xml:space="preserve"> for females?</w:t>
      </w:r>
      <w:r w:rsidRPr="00300CA2">
        <w:rPr>
          <w:rFonts w:ascii="Arial" w:hAnsi="Arial" w:cs="Arial"/>
        </w:rPr>
        <w:t xml:space="preserve"> </w:t>
      </w:r>
      <w:r w:rsidR="00B24F5D" w:rsidRPr="00300CA2">
        <w:rPr>
          <w:rFonts w:ascii="Arial" w:hAnsi="Arial" w:cs="Arial"/>
        </w:rPr>
        <w:t xml:space="preserve"> </w:t>
      </w:r>
    </w:p>
    <w:p w:rsidR="00AF5CE3" w:rsidRPr="00300CA2" w:rsidRDefault="00300CA2" w:rsidP="00F639D8">
      <w:pPr>
        <w:rPr>
          <w:rFonts w:ascii="Arial" w:hAnsi="Arial" w:cs="Arial"/>
        </w:rPr>
      </w:pPr>
      <w:r w:rsidRPr="00300CA2">
        <w:rPr>
          <w:rFonts w:ascii="Arial" w:hAnsi="Arial" w:cs="Arial"/>
          <w:shd w:val="clear" w:color="auto" w:fill="FFFFFF"/>
        </w:rPr>
        <w:t xml:space="preserve">In </w:t>
      </w:r>
      <w:r>
        <w:rPr>
          <w:rFonts w:ascii="Arial" w:hAnsi="Arial" w:cs="Arial"/>
          <w:shd w:val="clear" w:color="auto" w:fill="FFFFFF"/>
        </w:rPr>
        <w:t>last year’s BHFT report for the GPG it was noted that th</w:t>
      </w:r>
      <w:r w:rsidR="008B2E31" w:rsidRPr="00300CA2">
        <w:rPr>
          <w:rFonts w:ascii="Arial" w:hAnsi="Arial" w:cs="Arial"/>
          <w:shd w:val="clear" w:color="auto" w:fill="FFFFFF"/>
        </w:rPr>
        <w:t>e national GP register, </w:t>
      </w:r>
      <w:r>
        <w:rPr>
          <w:rFonts w:ascii="Arial" w:hAnsi="Arial" w:cs="Arial"/>
          <w:shd w:val="clear" w:color="auto" w:fill="FFFFFF"/>
        </w:rPr>
        <w:t xml:space="preserve">female </w:t>
      </w:r>
      <w:r w:rsidR="008B2E31" w:rsidRPr="00300CA2">
        <w:rPr>
          <w:rFonts w:ascii="Arial" w:hAnsi="Arial" w:cs="Arial"/>
          <w:bCs/>
          <w:shd w:val="clear" w:color="auto" w:fill="FFFFFF"/>
        </w:rPr>
        <w:t>outnumber m</w:t>
      </w:r>
      <w:r>
        <w:rPr>
          <w:rFonts w:ascii="Arial" w:hAnsi="Arial" w:cs="Arial"/>
          <w:bCs/>
          <w:shd w:val="clear" w:color="auto" w:fill="FFFFFF"/>
        </w:rPr>
        <w:t xml:space="preserve">ale </w:t>
      </w:r>
      <w:r w:rsidR="008B2E31" w:rsidRPr="00300CA2">
        <w:rPr>
          <w:rFonts w:ascii="Arial" w:hAnsi="Arial" w:cs="Arial"/>
          <w:shd w:val="clear" w:color="auto" w:fill="FFFFFF"/>
        </w:rPr>
        <w:t>with over 35 thousand female GPs for 27 thousand male GPs.</w:t>
      </w:r>
      <w:r w:rsidR="008B2E31" w:rsidRPr="00300CA2">
        <w:rPr>
          <w:rFonts w:ascii="Arial" w:hAnsi="Arial" w:cs="Arial"/>
          <w:b/>
          <w:bCs/>
          <w:shd w:val="clear" w:color="auto" w:fill="FFFFFF"/>
        </w:rPr>
        <w:t xml:space="preserve"> </w:t>
      </w:r>
      <w:r>
        <w:rPr>
          <w:rFonts w:ascii="Arial" w:hAnsi="Arial" w:cs="Arial"/>
          <w:bCs/>
          <w:shd w:val="clear" w:color="auto" w:fill="FFFFFF"/>
        </w:rPr>
        <w:t xml:space="preserve">Also </w:t>
      </w:r>
      <w:r w:rsidR="008B2E31" w:rsidRPr="00300CA2">
        <w:rPr>
          <w:rFonts w:ascii="Arial" w:hAnsi="Arial" w:cs="Arial"/>
          <w:bCs/>
          <w:shd w:val="clear" w:color="auto" w:fill="FFFFFF"/>
        </w:rPr>
        <w:t>according to the BMA February 2022</w:t>
      </w:r>
      <w:r>
        <w:rPr>
          <w:rFonts w:ascii="Arial" w:hAnsi="Arial" w:cs="Arial"/>
          <w:bCs/>
          <w:shd w:val="clear" w:color="auto" w:fill="FFFFFF"/>
        </w:rPr>
        <w:t>,</w:t>
      </w:r>
      <w:r w:rsidR="008B2E31" w:rsidRPr="00300CA2">
        <w:rPr>
          <w:rFonts w:ascii="Arial" w:hAnsi="Arial" w:cs="Arial"/>
          <w:bCs/>
          <w:shd w:val="clear" w:color="auto" w:fill="FFFFFF"/>
        </w:rPr>
        <w:t xml:space="preserve"> Female GPs earn on average 15.3% </w:t>
      </w:r>
      <w:r w:rsidR="008B2E31" w:rsidRPr="00300CA2">
        <w:rPr>
          <w:rFonts w:ascii="Arial" w:hAnsi="Arial" w:cs="Arial"/>
          <w:shd w:val="clear" w:color="auto" w:fill="FFFFFF"/>
        </w:rPr>
        <w:t>and clinical academics 11.9% less than m</w:t>
      </w:r>
      <w:r>
        <w:rPr>
          <w:rFonts w:ascii="Arial" w:hAnsi="Arial" w:cs="Arial"/>
          <w:shd w:val="clear" w:color="auto" w:fill="FFFFFF"/>
        </w:rPr>
        <w:t>ale</w:t>
      </w:r>
      <w:r w:rsidR="008B2E31" w:rsidRPr="00300CA2">
        <w:rPr>
          <w:rFonts w:ascii="Arial" w:hAnsi="Arial" w:cs="Arial"/>
          <w:shd w:val="clear" w:color="auto" w:fill="FFFFFF"/>
        </w:rPr>
        <w:t>. The total non-adjusted gender pay gap is 24.4% for hospital doctors, 33.5% for GPs and 21.4% for clinical academics.</w:t>
      </w:r>
    </w:p>
    <w:p w:rsidR="0009049E" w:rsidRPr="0026691B" w:rsidRDefault="00D551C0" w:rsidP="004135C2">
      <w:pPr>
        <w:rPr>
          <w:rFonts w:ascii="Arial" w:hAnsi="Arial" w:cs="Arial"/>
        </w:rPr>
      </w:pPr>
      <w:r w:rsidRPr="0026691B">
        <w:rPr>
          <w:rFonts w:ascii="Arial" w:hAnsi="Arial" w:cs="Arial"/>
        </w:rPr>
        <w:t>BHFT c</w:t>
      </w:r>
      <w:r w:rsidR="00AF5CE3" w:rsidRPr="0026691B">
        <w:rPr>
          <w:rFonts w:ascii="Arial" w:hAnsi="Arial" w:cs="Arial"/>
        </w:rPr>
        <w:t xml:space="preserve">onsultants number 440 but only 143 received a bonus. Of this 47 or 32.9% were female. </w:t>
      </w:r>
      <w:r w:rsidR="00AF5CE3" w:rsidRPr="0026691B">
        <w:rPr>
          <w:rFonts w:ascii="Arial" w:hAnsi="Arial" w:cs="Arial"/>
          <w:b/>
        </w:rPr>
        <w:t xml:space="preserve">The lower percentage of female consultant staff, the lower percentage of female receiving a bonus and the lower amount paid due to role tenure and LCEA tenure has an impact on both the overall Gender Pay Gap results and the Gender Bonus Pay Gap results. </w:t>
      </w:r>
      <w:r w:rsidR="008B2E31" w:rsidRPr="0026691B">
        <w:rPr>
          <w:rFonts w:ascii="Arial" w:hAnsi="Arial" w:cs="Arial"/>
        </w:rPr>
        <w:t xml:space="preserve">When the LCEA </w:t>
      </w:r>
      <w:r w:rsidRPr="0026691B">
        <w:rPr>
          <w:rFonts w:ascii="Arial" w:hAnsi="Arial" w:cs="Arial"/>
        </w:rPr>
        <w:t xml:space="preserve">/NCEA </w:t>
      </w:r>
      <w:r w:rsidR="008B2E31" w:rsidRPr="0026691B">
        <w:rPr>
          <w:rFonts w:ascii="Arial" w:hAnsi="Arial" w:cs="Arial"/>
        </w:rPr>
        <w:t xml:space="preserve">process has settled down following Covid and negotiation changes BHFT </w:t>
      </w:r>
      <w:r w:rsidR="0009049E" w:rsidRPr="0026691B">
        <w:rPr>
          <w:rFonts w:ascii="Arial" w:hAnsi="Arial" w:cs="Arial"/>
        </w:rPr>
        <w:t xml:space="preserve">will evaluate </w:t>
      </w:r>
      <w:r w:rsidR="00515A27" w:rsidRPr="0026691B">
        <w:rPr>
          <w:rFonts w:ascii="Arial" w:hAnsi="Arial" w:cs="Arial"/>
        </w:rPr>
        <w:t>and</w:t>
      </w:r>
      <w:r w:rsidR="0009049E" w:rsidRPr="0026691B">
        <w:rPr>
          <w:rFonts w:ascii="Arial" w:hAnsi="Arial" w:cs="Arial"/>
        </w:rPr>
        <w:t xml:space="preserve"> review</w:t>
      </w:r>
      <w:r w:rsidR="00515A27" w:rsidRPr="0026691B">
        <w:rPr>
          <w:rFonts w:ascii="Arial" w:hAnsi="Arial" w:cs="Arial"/>
        </w:rPr>
        <w:t xml:space="preserve"> </w:t>
      </w:r>
      <w:r w:rsidR="0009049E" w:rsidRPr="0026691B">
        <w:rPr>
          <w:rFonts w:ascii="Arial" w:hAnsi="Arial" w:cs="Arial"/>
        </w:rPr>
        <w:t>the CEA applications, who applied, who was successful</w:t>
      </w:r>
      <w:r w:rsidR="00515A27" w:rsidRPr="0026691B">
        <w:rPr>
          <w:rFonts w:ascii="Arial" w:hAnsi="Arial" w:cs="Arial"/>
        </w:rPr>
        <w:t xml:space="preserve"> or not</w:t>
      </w:r>
      <w:r w:rsidR="003429D1" w:rsidRPr="0026691B">
        <w:rPr>
          <w:rFonts w:ascii="Arial" w:hAnsi="Arial" w:cs="Arial"/>
        </w:rPr>
        <w:t>,</w:t>
      </w:r>
      <w:r w:rsidR="0009049E" w:rsidRPr="0026691B">
        <w:rPr>
          <w:rFonts w:ascii="Arial" w:hAnsi="Arial" w:cs="Arial"/>
        </w:rPr>
        <w:t xml:space="preserve"> and who did not apply by male</w:t>
      </w:r>
      <w:r w:rsidR="00515A27" w:rsidRPr="0026691B">
        <w:rPr>
          <w:rFonts w:ascii="Arial" w:hAnsi="Arial" w:cs="Arial"/>
        </w:rPr>
        <w:t xml:space="preserve"> / female.  Plus </w:t>
      </w:r>
      <w:r w:rsidR="0009049E" w:rsidRPr="0026691B">
        <w:rPr>
          <w:rFonts w:ascii="Arial" w:hAnsi="Arial" w:cs="Arial"/>
        </w:rPr>
        <w:t>full time</w:t>
      </w:r>
      <w:r w:rsidR="00515A27" w:rsidRPr="0026691B">
        <w:rPr>
          <w:rFonts w:ascii="Arial" w:hAnsi="Arial" w:cs="Arial"/>
        </w:rPr>
        <w:t xml:space="preserve">/ part time impact </w:t>
      </w:r>
      <w:r w:rsidR="003429D1" w:rsidRPr="0026691B">
        <w:rPr>
          <w:rFonts w:ascii="Arial" w:hAnsi="Arial" w:cs="Arial"/>
        </w:rPr>
        <w:t xml:space="preserve">on the </w:t>
      </w:r>
      <w:r w:rsidR="0009049E" w:rsidRPr="0026691B">
        <w:rPr>
          <w:rFonts w:ascii="Arial" w:hAnsi="Arial" w:cs="Arial"/>
        </w:rPr>
        <w:t xml:space="preserve">gender pay gap result. </w:t>
      </w:r>
    </w:p>
    <w:p w:rsidR="00F639D8" w:rsidRPr="0026691B" w:rsidRDefault="00F639D8" w:rsidP="003429D1">
      <w:pPr>
        <w:rPr>
          <w:rFonts w:ascii="Arial" w:hAnsi="Arial" w:cs="Arial"/>
        </w:rPr>
      </w:pPr>
      <w:r w:rsidRPr="0026691B">
        <w:rPr>
          <w:rFonts w:ascii="Arial" w:hAnsi="Arial" w:cs="Arial"/>
          <w:b/>
        </w:rPr>
        <w:t xml:space="preserve">Very Senior Managers - VSM – </w:t>
      </w:r>
      <w:r w:rsidRPr="0026691B">
        <w:rPr>
          <w:rFonts w:ascii="Arial" w:hAnsi="Arial" w:cs="Arial"/>
        </w:rPr>
        <w:t xml:space="preserve">The count of male to female across our VSM </w:t>
      </w:r>
      <w:r w:rsidR="00EB0A91" w:rsidRPr="0026691B">
        <w:rPr>
          <w:rFonts w:ascii="Arial" w:hAnsi="Arial" w:cs="Arial"/>
        </w:rPr>
        <w:t>in BHFT in year</w:t>
      </w:r>
      <w:r w:rsidR="00300CA2" w:rsidRPr="0026691B">
        <w:rPr>
          <w:rFonts w:ascii="Arial" w:hAnsi="Arial" w:cs="Arial"/>
        </w:rPr>
        <w:t xml:space="preserve"> 2020 has not changed from year</w:t>
      </w:r>
      <w:r w:rsidR="00EB0A91" w:rsidRPr="0026691B">
        <w:rPr>
          <w:rFonts w:ascii="Arial" w:hAnsi="Arial" w:cs="Arial"/>
        </w:rPr>
        <w:t xml:space="preserve"> end 2021 </w:t>
      </w:r>
      <w:r w:rsidR="00300CA2" w:rsidRPr="0026691B">
        <w:rPr>
          <w:rFonts w:ascii="Arial" w:hAnsi="Arial" w:cs="Arial"/>
        </w:rPr>
        <w:t>at</w:t>
      </w:r>
      <w:r w:rsidRPr="0026691B">
        <w:rPr>
          <w:rFonts w:ascii="Arial" w:hAnsi="Arial" w:cs="Arial"/>
        </w:rPr>
        <w:t xml:space="preserve"> </w:t>
      </w:r>
      <w:r w:rsidR="00EB0A91" w:rsidRPr="0026691B">
        <w:rPr>
          <w:rFonts w:ascii="Arial" w:hAnsi="Arial" w:cs="Arial"/>
        </w:rPr>
        <w:t>19</w:t>
      </w:r>
      <w:r w:rsidRPr="0026691B">
        <w:rPr>
          <w:rFonts w:ascii="Arial" w:hAnsi="Arial" w:cs="Arial"/>
        </w:rPr>
        <w:t xml:space="preserve"> female to 1</w:t>
      </w:r>
      <w:r w:rsidR="00EB0A91" w:rsidRPr="0026691B">
        <w:rPr>
          <w:rFonts w:ascii="Arial" w:hAnsi="Arial" w:cs="Arial"/>
        </w:rPr>
        <w:t>8</w:t>
      </w:r>
      <w:r w:rsidRPr="0026691B">
        <w:rPr>
          <w:rFonts w:ascii="Arial" w:hAnsi="Arial" w:cs="Arial"/>
        </w:rPr>
        <w:t xml:space="preserve"> male with a ratio of </w:t>
      </w:r>
      <w:r w:rsidR="00EB0A91" w:rsidRPr="0026691B">
        <w:rPr>
          <w:rFonts w:ascii="Arial" w:hAnsi="Arial" w:cs="Arial"/>
        </w:rPr>
        <w:t>51.3</w:t>
      </w:r>
      <w:r w:rsidRPr="0026691B">
        <w:rPr>
          <w:rFonts w:ascii="Arial" w:hAnsi="Arial" w:cs="Arial"/>
        </w:rPr>
        <w:t xml:space="preserve">% female to </w:t>
      </w:r>
      <w:r w:rsidR="00EB0A91" w:rsidRPr="0026691B">
        <w:rPr>
          <w:rFonts w:ascii="Arial" w:hAnsi="Arial" w:cs="Arial"/>
        </w:rPr>
        <w:t>48.7</w:t>
      </w:r>
      <w:r w:rsidRPr="0026691B">
        <w:rPr>
          <w:rFonts w:ascii="Arial" w:hAnsi="Arial" w:cs="Arial"/>
        </w:rPr>
        <w:t>% male</w:t>
      </w:r>
      <w:r w:rsidR="00EB0A91" w:rsidRPr="0026691B">
        <w:rPr>
          <w:rFonts w:ascii="Arial" w:hAnsi="Arial" w:cs="Arial"/>
        </w:rPr>
        <w:t xml:space="preserve"> whereas our workforce ratio 78% female to 22% male. Our VSM are Band 9 and Ad-hoc in our pay bands. </w:t>
      </w:r>
      <w:r w:rsidRPr="0026691B">
        <w:rPr>
          <w:rFonts w:ascii="Arial" w:hAnsi="Arial" w:cs="Arial"/>
        </w:rPr>
        <w:t xml:space="preserve"> </w:t>
      </w:r>
    </w:p>
    <w:p w:rsidR="00CE2E8D" w:rsidRPr="0026691B" w:rsidRDefault="00CE2E8D" w:rsidP="003429D1">
      <w:pPr>
        <w:rPr>
          <w:rFonts w:ascii="Arial" w:hAnsi="Arial" w:cs="Arial"/>
        </w:rPr>
      </w:pPr>
      <w:r w:rsidRPr="0026691B">
        <w:rPr>
          <w:rFonts w:ascii="Arial" w:hAnsi="Arial" w:cs="Arial"/>
        </w:rPr>
        <w:t xml:space="preserve">This is a good performance area for BHFT as the pay gap result is positive for female at -19.93% and a higher average hourly pay of £9.58 for Band 9 and -11.18% </w:t>
      </w:r>
      <w:r w:rsidR="00E77054" w:rsidRPr="0026691B">
        <w:rPr>
          <w:rFonts w:ascii="Arial" w:hAnsi="Arial" w:cs="Arial"/>
        </w:rPr>
        <w:t xml:space="preserve">and £4.98 an hour </w:t>
      </w:r>
      <w:r w:rsidRPr="0026691B">
        <w:rPr>
          <w:rFonts w:ascii="Arial" w:hAnsi="Arial" w:cs="Arial"/>
        </w:rPr>
        <w:t xml:space="preserve">for Ad-hoc. </w:t>
      </w:r>
      <w:r w:rsidR="00E77054" w:rsidRPr="0026691B">
        <w:rPr>
          <w:rFonts w:ascii="Arial" w:hAnsi="Arial" w:cs="Arial"/>
        </w:rPr>
        <w:t>However, there is impact from the 26.7% lower than workforce female representation in our VSM.</w:t>
      </w:r>
    </w:p>
    <w:tbl>
      <w:tblPr>
        <w:tblW w:w="9709" w:type="dxa"/>
        <w:tblInd w:w="-5" w:type="dxa"/>
        <w:tblLook w:val="04A0" w:firstRow="1" w:lastRow="0" w:firstColumn="1" w:lastColumn="0" w:noHBand="0" w:noVBand="1"/>
      </w:tblPr>
      <w:tblGrid>
        <w:gridCol w:w="1226"/>
        <w:gridCol w:w="833"/>
        <w:gridCol w:w="918"/>
        <w:gridCol w:w="776"/>
        <w:gridCol w:w="918"/>
        <w:gridCol w:w="918"/>
        <w:gridCol w:w="790"/>
        <w:gridCol w:w="993"/>
        <w:gridCol w:w="763"/>
        <w:gridCol w:w="810"/>
        <w:gridCol w:w="764"/>
      </w:tblGrid>
      <w:tr w:rsidR="00EB0A91" w:rsidRPr="0026691B" w:rsidTr="006E67C7">
        <w:trPr>
          <w:trHeight w:val="167"/>
        </w:trPr>
        <w:tc>
          <w:tcPr>
            <w:tcW w:w="1226" w:type="dxa"/>
            <w:tcBorders>
              <w:top w:val="nil"/>
              <w:left w:val="single" w:sz="4" w:space="0" w:color="auto"/>
              <w:bottom w:val="single" w:sz="4" w:space="0" w:color="auto"/>
              <w:right w:val="single" w:sz="4" w:space="0" w:color="auto"/>
            </w:tcBorders>
            <w:shd w:val="clear" w:color="000000" w:fill="BDD7EE"/>
            <w:hideMark/>
          </w:tcPr>
          <w:p w:rsidR="00EB0A91" w:rsidRPr="0026691B" w:rsidRDefault="00EB0A91" w:rsidP="006E67C7">
            <w:pPr>
              <w:spacing w:after="0" w:line="240" w:lineRule="auto"/>
              <w:rPr>
                <w:rFonts w:ascii="Calibri" w:eastAsia="Times New Roman" w:hAnsi="Calibri" w:cs="Calibri"/>
                <w:b/>
                <w:bCs/>
                <w:lang w:eastAsia="en-GB"/>
              </w:rPr>
            </w:pPr>
            <w:r w:rsidRPr="0026691B">
              <w:rPr>
                <w:rFonts w:ascii="Calibri" w:eastAsia="Times New Roman" w:hAnsi="Calibri" w:cs="Calibri"/>
                <w:b/>
                <w:bCs/>
                <w:lang w:eastAsia="en-GB"/>
              </w:rPr>
              <w:t>Band 9</w:t>
            </w:r>
          </w:p>
        </w:tc>
        <w:tc>
          <w:tcPr>
            <w:tcW w:w="833" w:type="dxa"/>
            <w:tcBorders>
              <w:top w:val="nil"/>
              <w:left w:val="nil"/>
              <w:bottom w:val="single" w:sz="4" w:space="0" w:color="auto"/>
              <w:right w:val="single" w:sz="4" w:space="0" w:color="auto"/>
            </w:tcBorders>
            <w:shd w:val="clear" w:color="auto" w:fill="auto"/>
            <w:vAlign w:val="center"/>
            <w:hideMark/>
          </w:tcPr>
          <w:p w:rsidR="00EB0A91" w:rsidRPr="0026691B" w:rsidRDefault="00EB0A91" w:rsidP="006E67C7">
            <w:pPr>
              <w:spacing w:after="0" w:line="240" w:lineRule="auto"/>
              <w:jc w:val="right"/>
              <w:rPr>
                <w:rFonts w:ascii="Calibri" w:eastAsia="Times New Roman" w:hAnsi="Calibri" w:cs="Calibri"/>
                <w:lang w:eastAsia="en-GB"/>
              </w:rPr>
            </w:pPr>
            <w:r w:rsidRPr="0026691B">
              <w:rPr>
                <w:rFonts w:ascii="Calibri" w:eastAsia="Times New Roman" w:hAnsi="Calibri" w:cs="Calibri"/>
                <w:lang w:eastAsia="en-GB"/>
              </w:rPr>
              <w:t>£54.44</w:t>
            </w:r>
          </w:p>
        </w:tc>
        <w:tc>
          <w:tcPr>
            <w:tcW w:w="918" w:type="dxa"/>
            <w:tcBorders>
              <w:top w:val="nil"/>
              <w:left w:val="nil"/>
              <w:bottom w:val="single" w:sz="4" w:space="0" w:color="auto"/>
              <w:right w:val="single" w:sz="4" w:space="0" w:color="auto"/>
            </w:tcBorders>
            <w:shd w:val="clear" w:color="000000" w:fill="FFFFFF"/>
            <w:vAlign w:val="center"/>
            <w:hideMark/>
          </w:tcPr>
          <w:p w:rsidR="00EB0A91" w:rsidRPr="0026691B" w:rsidRDefault="00EB0A91" w:rsidP="006E67C7">
            <w:pPr>
              <w:spacing w:after="0" w:line="240" w:lineRule="auto"/>
              <w:jc w:val="right"/>
              <w:rPr>
                <w:rFonts w:ascii="Calibri" w:eastAsia="Times New Roman" w:hAnsi="Calibri" w:cs="Calibri"/>
                <w:lang w:eastAsia="en-GB"/>
              </w:rPr>
            </w:pPr>
            <w:r w:rsidRPr="0026691B">
              <w:rPr>
                <w:rFonts w:ascii="Calibri" w:eastAsia="Times New Roman" w:hAnsi="Calibri" w:cs="Calibri"/>
                <w:lang w:eastAsia="en-GB"/>
              </w:rPr>
              <w:t>8</w:t>
            </w:r>
          </w:p>
        </w:tc>
        <w:tc>
          <w:tcPr>
            <w:tcW w:w="776" w:type="dxa"/>
            <w:tcBorders>
              <w:top w:val="nil"/>
              <w:left w:val="nil"/>
              <w:bottom w:val="single" w:sz="4" w:space="0" w:color="auto"/>
              <w:right w:val="single" w:sz="4" w:space="0" w:color="auto"/>
            </w:tcBorders>
            <w:shd w:val="clear" w:color="000000" w:fill="FFFFFF"/>
            <w:vAlign w:val="center"/>
            <w:hideMark/>
          </w:tcPr>
          <w:p w:rsidR="00EB0A91" w:rsidRPr="0026691B" w:rsidRDefault="00EB0A91" w:rsidP="006E67C7">
            <w:pPr>
              <w:spacing w:after="0" w:line="240" w:lineRule="auto"/>
              <w:jc w:val="right"/>
              <w:rPr>
                <w:rFonts w:ascii="Calibri" w:eastAsia="Times New Roman" w:hAnsi="Calibri" w:cs="Calibri"/>
                <w:lang w:eastAsia="en-GB"/>
              </w:rPr>
            </w:pPr>
            <w:r w:rsidRPr="0026691B">
              <w:rPr>
                <w:rFonts w:ascii="Calibri" w:eastAsia="Times New Roman" w:hAnsi="Calibri" w:cs="Calibri"/>
                <w:lang w:eastAsia="en-GB"/>
              </w:rPr>
              <w:t>4</w:t>
            </w:r>
          </w:p>
        </w:tc>
        <w:tc>
          <w:tcPr>
            <w:tcW w:w="918" w:type="dxa"/>
            <w:tcBorders>
              <w:top w:val="single" w:sz="4" w:space="0" w:color="auto"/>
              <w:left w:val="nil"/>
              <w:bottom w:val="single" w:sz="4" w:space="0" w:color="auto"/>
              <w:right w:val="single" w:sz="4" w:space="0" w:color="auto"/>
            </w:tcBorders>
            <w:shd w:val="clear" w:color="000000" w:fill="FDE9D9" w:themeFill="accent6" w:themeFillTint="33"/>
            <w:noWrap/>
            <w:vAlign w:val="center"/>
            <w:hideMark/>
          </w:tcPr>
          <w:p w:rsidR="00EB0A91" w:rsidRPr="0026691B" w:rsidRDefault="00EB0A91" w:rsidP="006E67C7">
            <w:pPr>
              <w:spacing w:after="0" w:line="240" w:lineRule="auto"/>
              <w:jc w:val="right"/>
              <w:rPr>
                <w:rFonts w:ascii="Calibri" w:eastAsia="Times New Roman" w:hAnsi="Calibri" w:cs="Calibri"/>
                <w:lang w:eastAsia="en-GB"/>
              </w:rPr>
            </w:pPr>
            <w:r w:rsidRPr="0026691B">
              <w:rPr>
                <w:rFonts w:ascii="Calibri" w:eastAsia="Times New Roman" w:hAnsi="Calibri" w:cs="Calibri"/>
                <w:lang w:eastAsia="en-GB"/>
              </w:rPr>
              <w:t>£57.63</w:t>
            </w:r>
          </w:p>
        </w:tc>
        <w:tc>
          <w:tcPr>
            <w:tcW w:w="918" w:type="dxa"/>
            <w:tcBorders>
              <w:top w:val="nil"/>
              <w:left w:val="nil"/>
              <w:bottom w:val="single" w:sz="4" w:space="0" w:color="auto"/>
              <w:right w:val="single" w:sz="4" w:space="0" w:color="auto"/>
            </w:tcBorders>
            <w:shd w:val="clear" w:color="auto" w:fill="auto"/>
            <w:noWrap/>
            <w:vAlign w:val="center"/>
            <w:hideMark/>
          </w:tcPr>
          <w:p w:rsidR="00EB0A91" w:rsidRPr="0026691B" w:rsidRDefault="00EB0A91" w:rsidP="006E67C7">
            <w:pPr>
              <w:spacing w:after="0" w:line="240" w:lineRule="auto"/>
              <w:jc w:val="right"/>
              <w:rPr>
                <w:rFonts w:ascii="Calibri" w:eastAsia="Times New Roman" w:hAnsi="Calibri" w:cs="Calibri"/>
                <w:lang w:eastAsia="en-GB"/>
              </w:rPr>
            </w:pPr>
            <w:r w:rsidRPr="0026691B">
              <w:rPr>
                <w:rFonts w:ascii="Calibri" w:eastAsia="Times New Roman" w:hAnsi="Calibri" w:cs="Calibri"/>
                <w:lang w:eastAsia="en-GB"/>
              </w:rPr>
              <w:t>£48.05</w:t>
            </w:r>
          </w:p>
        </w:tc>
        <w:tc>
          <w:tcPr>
            <w:tcW w:w="790" w:type="dxa"/>
            <w:tcBorders>
              <w:top w:val="nil"/>
              <w:left w:val="nil"/>
              <w:bottom w:val="single" w:sz="4" w:space="0" w:color="auto"/>
              <w:right w:val="single" w:sz="4" w:space="0" w:color="auto"/>
            </w:tcBorders>
            <w:shd w:val="clear" w:color="auto" w:fill="auto"/>
            <w:noWrap/>
            <w:vAlign w:val="center"/>
            <w:hideMark/>
          </w:tcPr>
          <w:p w:rsidR="00EB0A91" w:rsidRPr="0026691B" w:rsidRDefault="00EB0A91" w:rsidP="006E67C7">
            <w:pPr>
              <w:spacing w:after="0" w:line="240" w:lineRule="auto"/>
              <w:jc w:val="right"/>
              <w:rPr>
                <w:rFonts w:ascii="Calibri" w:eastAsia="Times New Roman" w:hAnsi="Calibri" w:cs="Calibri"/>
                <w:lang w:eastAsia="en-GB"/>
              </w:rPr>
            </w:pPr>
            <w:r w:rsidRPr="0026691B">
              <w:rPr>
                <w:rFonts w:ascii="Calibri" w:eastAsia="Times New Roman" w:hAnsi="Calibri" w:cs="Calibri"/>
                <w:lang w:eastAsia="en-GB"/>
              </w:rPr>
              <w:t>-£9.58</w:t>
            </w:r>
          </w:p>
        </w:tc>
        <w:tc>
          <w:tcPr>
            <w:tcW w:w="993" w:type="dxa"/>
            <w:tcBorders>
              <w:top w:val="nil"/>
              <w:left w:val="nil"/>
              <w:bottom w:val="single" w:sz="4" w:space="0" w:color="auto"/>
              <w:right w:val="single" w:sz="4" w:space="0" w:color="auto"/>
            </w:tcBorders>
            <w:shd w:val="clear" w:color="000000" w:fill="BDD7EE"/>
            <w:noWrap/>
            <w:vAlign w:val="center"/>
            <w:hideMark/>
          </w:tcPr>
          <w:p w:rsidR="00EB0A91" w:rsidRPr="0026691B" w:rsidRDefault="00EB0A91" w:rsidP="006E67C7">
            <w:pPr>
              <w:spacing w:after="0" w:line="240" w:lineRule="auto"/>
              <w:jc w:val="right"/>
              <w:rPr>
                <w:rFonts w:ascii="Calibri" w:eastAsia="Times New Roman" w:hAnsi="Calibri" w:cs="Calibri"/>
                <w:lang w:eastAsia="en-GB"/>
              </w:rPr>
            </w:pPr>
            <w:r w:rsidRPr="0026691B">
              <w:rPr>
                <w:rFonts w:ascii="Calibri" w:eastAsia="Times New Roman" w:hAnsi="Calibri" w:cs="Calibri"/>
                <w:lang w:eastAsia="en-GB"/>
              </w:rPr>
              <w:t>-19.93%</w:t>
            </w:r>
          </w:p>
        </w:tc>
        <w:tc>
          <w:tcPr>
            <w:tcW w:w="763" w:type="dxa"/>
            <w:tcBorders>
              <w:top w:val="nil"/>
              <w:left w:val="nil"/>
              <w:bottom w:val="nil"/>
              <w:right w:val="single" w:sz="4" w:space="0" w:color="auto"/>
            </w:tcBorders>
            <w:shd w:val="clear" w:color="auto" w:fill="F2F2F2" w:themeFill="background1" w:themeFillShade="F2"/>
            <w:noWrap/>
            <w:vAlign w:val="bottom"/>
            <w:hideMark/>
          </w:tcPr>
          <w:p w:rsidR="00EB0A91" w:rsidRPr="0026691B" w:rsidRDefault="00EB0A91" w:rsidP="006E67C7">
            <w:pPr>
              <w:spacing w:after="0" w:line="240" w:lineRule="auto"/>
              <w:jc w:val="right"/>
              <w:rPr>
                <w:rFonts w:ascii="Calibri" w:eastAsia="Times New Roman" w:hAnsi="Calibri" w:cs="Calibri"/>
                <w:lang w:eastAsia="en-GB"/>
              </w:rPr>
            </w:pPr>
            <w:r w:rsidRPr="0026691B">
              <w:rPr>
                <w:rFonts w:ascii="Calibri" w:eastAsia="Times New Roman" w:hAnsi="Calibri" w:cs="Calibri"/>
                <w:lang w:eastAsia="en-GB"/>
              </w:rPr>
              <w:t>12</w:t>
            </w:r>
          </w:p>
        </w:tc>
        <w:tc>
          <w:tcPr>
            <w:tcW w:w="810" w:type="dxa"/>
            <w:tcBorders>
              <w:top w:val="nil"/>
              <w:left w:val="single" w:sz="4" w:space="0" w:color="auto"/>
              <w:bottom w:val="nil"/>
              <w:right w:val="single" w:sz="4" w:space="0" w:color="auto"/>
            </w:tcBorders>
            <w:shd w:val="clear" w:color="000000" w:fill="FFF2CC"/>
            <w:noWrap/>
            <w:vAlign w:val="bottom"/>
            <w:hideMark/>
          </w:tcPr>
          <w:p w:rsidR="00EB0A91" w:rsidRPr="0026691B" w:rsidRDefault="00EB0A91" w:rsidP="006E67C7">
            <w:pPr>
              <w:spacing w:after="0" w:line="240" w:lineRule="auto"/>
              <w:jc w:val="right"/>
              <w:rPr>
                <w:rFonts w:ascii="Calibri" w:eastAsia="Times New Roman" w:hAnsi="Calibri" w:cs="Calibri"/>
                <w:lang w:eastAsia="en-GB"/>
              </w:rPr>
            </w:pPr>
            <w:r w:rsidRPr="0026691B">
              <w:rPr>
                <w:rFonts w:ascii="Calibri" w:eastAsia="Times New Roman" w:hAnsi="Calibri" w:cs="Calibri"/>
                <w:lang w:eastAsia="en-GB"/>
              </w:rPr>
              <w:t>66.7%</w:t>
            </w:r>
          </w:p>
        </w:tc>
        <w:tc>
          <w:tcPr>
            <w:tcW w:w="764" w:type="dxa"/>
            <w:tcBorders>
              <w:top w:val="nil"/>
              <w:left w:val="single" w:sz="4" w:space="0" w:color="auto"/>
              <w:bottom w:val="nil"/>
              <w:right w:val="single" w:sz="4" w:space="0" w:color="auto"/>
            </w:tcBorders>
            <w:shd w:val="clear" w:color="000000" w:fill="FFF2CC"/>
            <w:noWrap/>
            <w:vAlign w:val="bottom"/>
            <w:hideMark/>
          </w:tcPr>
          <w:p w:rsidR="00EB0A91" w:rsidRPr="0026691B" w:rsidRDefault="00EB0A91" w:rsidP="006E67C7">
            <w:pPr>
              <w:spacing w:after="0" w:line="240" w:lineRule="auto"/>
              <w:jc w:val="right"/>
              <w:rPr>
                <w:rFonts w:ascii="Calibri" w:eastAsia="Times New Roman" w:hAnsi="Calibri" w:cs="Calibri"/>
                <w:lang w:eastAsia="en-GB"/>
              </w:rPr>
            </w:pPr>
            <w:r w:rsidRPr="0026691B">
              <w:rPr>
                <w:rFonts w:ascii="Calibri" w:eastAsia="Times New Roman" w:hAnsi="Calibri" w:cs="Calibri"/>
                <w:lang w:eastAsia="en-GB"/>
              </w:rPr>
              <w:t>0.1%</w:t>
            </w:r>
          </w:p>
        </w:tc>
      </w:tr>
      <w:tr w:rsidR="00EB0A91" w:rsidRPr="0026691B" w:rsidTr="006E67C7">
        <w:trPr>
          <w:trHeight w:val="172"/>
        </w:trPr>
        <w:tc>
          <w:tcPr>
            <w:tcW w:w="1226" w:type="dxa"/>
            <w:tcBorders>
              <w:top w:val="nil"/>
              <w:left w:val="single" w:sz="4" w:space="0" w:color="auto"/>
              <w:bottom w:val="single" w:sz="4" w:space="0" w:color="auto"/>
              <w:right w:val="single" w:sz="4" w:space="0" w:color="auto"/>
            </w:tcBorders>
            <w:shd w:val="clear" w:color="000000" w:fill="BDD7EE"/>
            <w:hideMark/>
          </w:tcPr>
          <w:p w:rsidR="00EB0A91" w:rsidRPr="0026691B" w:rsidRDefault="00EB0A91" w:rsidP="006E67C7">
            <w:pPr>
              <w:spacing w:after="0" w:line="240" w:lineRule="auto"/>
              <w:rPr>
                <w:rFonts w:ascii="Calibri" w:eastAsia="Times New Roman" w:hAnsi="Calibri" w:cs="Calibri"/>
                <w:b/>
                <w:bCs/>
                <w:lang w:eastAsia="en-GB"/>
              </w:rPr>
            </w:pPr>
            <w:r w:rsidRPr="0026691B">
              <w:rPr>
                <w:rFonts w:ascii="Calibri" w:eastAsia="Times New Roman" w:hAnsi="Calibri" w:cs="Calibri"/>
                <w:b/>
                <w:bCs/>
                <w:lang w:eastAsia="en-GB"/>
              </w:rPr>
              <w:t>Ad-Hoc</w:t>
            </w:r>
          </w:p>
        </w:tc>
        <w:tc>
          <w:tcPr>
            <w:tcW w:w="833" w:type="dxa"/>
            <w:tcBorders>
              <w:top w:val="nil"/>
              <w:left w:val="nil"/>
              <w:bottom w:val="single" w:sz="4" w:space="0" w:color="auto"/>
              <w:right w:val="single" w:sz="4" w:space="0" w:color="auto"/>
            </w:tcBorders>
            <w:shd w:val="clear" w:color="auto" w:fill="auto"/>
            <w:vAlign w:val="center"/>
            <w:hideMark/>
          </w:tcPr>
          <w:p w:rsidR="00EB0A91" w:rsidRPr="0026691B" w:rsidRDefault="00EB0A91" w:rsidP="006E67C7">
            <w:pPr>
              <w:spacing w:after="0" w:line="240" w:lineRule="auto"/>
              <w:jc w:val="right"/>
              <w:rPr>
                <w:rFonts w:ascii="Calibri" w:eastAsia="Times New Roman" w:hAnsi="Calibri" w:cs="Calibri"/>
                <w:lang w:eastAsia="en-GB"/>
              </w:rPr>
            </w:pPr>
            <w:r w:rsidRPr="0026691B">
              <w:rPr>
                <w:rFonts w:ascii="Calibri" w:eastAsia="Times New Roman" w:hAnsi="Calibri" w:cs="Calibri"/>
                <w:lang w:eastAsia="en-GB"/>
              </w:rPr>
              <w:t>£46.72</w:t>
            </w:r>
          </w:p>
        </w:tc>
        <w:tc>
          <w:tcPr>
            <w:tcW w:w="918" w:type="dxa"/>
            <w:tcBorders>
              <w:top w:val="nil"/>
              <w:left w:val="nil"/>
              <w:bottom w:val="single" w:sz="4" w:space="0" w:color="auto"/>
              <w:right w:val="single" w:sz="4" w:space="0" w:color="auto"/>
            </w:tcBorders>
            <w:shd w:val="clear" w:color="000000" w:fill="FFFFFF"/>
            <w:vAlign w:val="center"/>
            <w:hideMark/>
          </w:tcPr>
          <w:p w:rsidR="00EB0A91" w:rsidRPr="0026691B" w:rsidRDefault="00EB0A91" w:rsidP="006E67C7">
            <w:pPr>
              <w:spacing w:after="0" w:line="240" w:lineRule="auto"/>
              <w:jc w:val="right"/>
              <w:rPr>
                <w:rFonts w:ascii="Calibri" w:eastAsia="Times New Roman" w:hAnsi="Calibri" w:cs="Calibri"/>
                <w:lang w:eastAsia="en-GB"/>
              </w:rPr>
            </w:pPr>
            <w:r w:rsidRPr="0026691B">
              <w:rPr>
                <w:rFonts w:ascii="Calibri" w:eastAsia="Times New Roman" w:hAnsi="Calibri" w:cs="Calibri"/>
                <w:lang w:eastAsia="en-GB"/>
              </w:rPr>
              <w:t>11</w:t>
            </w:r>
          </w:p>
        </w:tc>
        <w:tc>
          <w:tcPr>
            <w:tcW w:w="776" w:type="dxa"/>
            <w:tcBorders>
              <w:top w:val="nil"/>
              <w:left w:val="nil"/>
              <w:bottom w:val="single" w:sz="4" w:space="0" w:color="auto"/>
              <w:right w:val="single" w:sz="4" w:space="0" w:color="auto"/>
            </w:tcBorders>
            <w:shd w:val="clear" w:color="000000" w:fill="FFFFFF"/>
            <w:vAlign w:val="center"/>
            <w:hideMark/>
          </w:tcPr>
          <w:p w:rsidR="00EB0A91" w:rsidRPr="0026691B" w:rsidRDefault="00EB0A91" w:rsidP="006E67C7">
            <w:pPr>
              <w:spacing w:after="0" w:line="240" w:lineRule="auto"/>
              <w:jc w:val="right"/>
              <w:rPr>
                <w:rFonts w:ascii="Calibri" w:eastAsia="Times New Roman" w:hAnsi="Calibri" w:cs="Calibri"/>
                <w:lang w:eastAsia="en-GB"/>
              </w:rPr>
            </w:pPr>
            <w:r w:rsidRPr="0026691B">
              <w:rPr>
                <w:rFonts w:ascii="Calibri" w:eastAsia="Times New Roman" w:hAnsi="Calibri" w:cs="Calibri"/>
                <w:lang w:eastAsia="en-GB"/>
              </w:rPr>
              <w:t>14</w:t>
            </w:r>
          </w:p>
        </w:tc>
        <w:tc>
          <w:tcPr>
            <w:tcW w:w="918" w:type="dxa"/>
            <w:tcBorders>
              <w:top w:val="single" w:sz="4" w:space="0" w:color="auto"/>
              <w:left w:val="nil"/>
              <w:bottom w:val="single" w:sz="4" w:space="0" w:color="auto"/>
              <w:right w:val="single" w:sz="4" w:space="0" w:color="auto"/>
            </w:tcBorders>
            <w:shd w:val="clear" w:color="000000" w:fill="FDE9D9" w:themeFill="accent6" w:themeFillTint="33"/>
            <w:noWrap/>
            <w:vAlign w:val="center"/>
            <w:hideMark/>
          </w:tcPr>
          <w:p w:rsidR="00EB0A91" w:rsidRPr="0026691B" w:rsidRDefault="00EB0A91" w:rsidP="006E67C7">
            <w:pPr>
              <w:spacing w:after="0" w:line="240" w:lineRule="auto"/>
              <w:jc w:val="right"/>
              <w:rPr>
                <w:rFonts w:ascii="Calibri" w:eastAsia="Times New Roman" w:hAnsi="Calibri" w:cs="Calibri"/>
                <w:lang w:eastAsia="en-GB"/>
              </w:rPr>
            </w:pPr>
            <w:r w:rsidRPr="0026691B">
              <w:rPr>
                <w:rFonts w:ascii="Calibri" w:eastAsia="Times New Roman" w:hAnsi="Calibri" w:cs="Calibri"/>
                <w:lang w:eastAsia="en-GB"/>
              </w:rPr>
              <w:t>£49.51</w:t>
            </w:r>
          </w:p>
        </w:tc>
        <w:tc>
          <w:tcPr>
            <w:tcW w:w="918" w:type="dxa"/>
            <w:tcBorders>
              <w:top w:val="nil"/>
              <w:left w:val="nil"/>
              <w:bottom w:val="single" w:sz="4" w:space="0" w:color="auto"/>
              <w:right w:val="single" w:sz="4" w:space="0" w:color="auto"/>
            </w:tcBorders>
            <w:shd w:val="clear" w:color="000000" w:fill="FFFFFF"/>
            <w:noWrap/>
            <w:vAlign w:val="center"/>
            <w:hideMark/>
          </w:tcPr>
          <w:p w:rsidR="00EB0A91" w:rsidRPr="0026691B" w:rsidRDefault="00EB0A91" w:rsidP="006E67C7">
            <w:pPr>
              <w:spacing w:after="0" w:line="240" w:lineRule="auto"/>
              <w:jc w:val="right"/>
              <w:rPr>
                <w:rFonts w:ascii="Calibri" w:eastAsia="Times New Roman" w:hAnsi="Calibri" w:cs="Calibri"/>
                <w:lang w:eastAsia="en-GB"/>
              </w:rPr>
            </w:pPr>
            <w:r w:rsidRPr="0026691B">
              <w:rPr>
                <w:rFonts w:ascii="Calibri" w:eastAsia="Times New Roman" w:hAnsi="Calibri" w:cs="Calibri"/>
                <w:lang w:eastAsia="en-GB"/>
              </w:rPr>
              <w:t>£44.53</w:t>
            </w:r>
          </w:p>
        </w:tc>
        <w:tc>
          <w:tcPr>
            <w:tcW w:w="790" w:type="dxa"/>
            <w:tcBorders>
              <w:top w:val="nil"/>
              <w:left w:val="nil"/>
              <w:bottom w:val="single" w:sz="4" w:space="0" w:color="auto"/>
              <w:right w:val="single" w:sz="4" w:space="0" w:color="auto"/>
            </w:tcBorders>
            <w:shd w:val="clear" w:color="auto" w:fill="auto"/>
            <w:noWrap/>
            <w:vAlign w:val="center"/>
            <w:hideMark/>
          </w:tcPr>
          <w:p w:rsidR="00EB0A91" w:rsidRPr="0026691B" w:rsidRDefault="00EB0A91" w:rsidP="006E67C7">
            <w:pPr>
              <w:spacing w:after="0" w:line="240" w:lineRule="auto"/>
              <w:jc w:val="right"/>
              <w:rPr>
                <w:rFonts w:ascii="Calibri" w:eastAsia="Times New Roman" w:hAnsi="Calibri" w:cs="Calibri"/>
                <w:lang w:eastAsia="en-GB"/>
              </w:rPr>
            </w:pPr>
            <w:r w:rsidRPr="0026691B">
              <w:rPr>
                <w:rFonts w:ascii="Calibri" w:eastAsia="Times New Roman" w:hAnsi="Calibri" w:cs="Calibri"/>
                <w:lang w:eastAsia="en-GB"/>
              </w:rPr>
              <w:t>-£4.98</w:t>
            </w:r>
          </w:p>
        </w:tc>
        <w:tc>
          <w:tcPr>
            <w:tcW w:w="993" w:type="dxa"/>
            <w:tcBorders>
              <w:top w:val="nil"/>
              <w:left w:val="nil"/>
              <w:bottom w:val="single" w:sz="4" w:space="0" w:color="auto"/>
              <w:right w:val="single" w:sz="4" w:space="0" w:color="auto"/>
            </w:tcBorders>
            <w:shd w:val="clear" w:color="000000" w:fill="BDD7EE"/>
            <w:noWrap/>
            <w:vAlign w:val="center"/>
            <w:hideMark/>
          </w:tcPr>
          <w:p w:rsidR="00EB0A91" w:rsidRPr="0026691B" w:rsidRDefault="00EB0A91" w:rsidP="006E67C7">
            <w:pPr>
              <w:spacing w:after="0" w:line="240" w:lineRule="auto"/>
              <w:jc w:val="right"/>
              <w:rPr>
                <w:rFonts w:ascii="Calibri" w:eastAsia="Times New Roman" w:hAnsi="Calibri" w:cs="Calibri"/>
                <w:lang w:eastAsia="en-GB"/>
              </w:rPr>
            </w:pPr>
            <w:r w:rsidRPr="0026691B">
              <w:rPr>
                <w:rFonts w:ascii="Calibri" w:eastAsia="Times New Roman" w:hAnsi="Calibri" w:cs="Calibri"/>
                <w:lang w:eastAsia="en-GB"/>
              </w:rPr>
              <w:t>-11.18%</w:t>
            </w:r>
          </w:p>
        </w:tc>
        <w:tc>
          <w:tcPr>
            <w:tcW w:w="763" w:type="dxa"/>
            <w:tcBorders>
              <w:top w:val="nil"/>
              <w:left w:val="nil"/>
              <w:right w:val="single" w:sz="4" w:space="0" w:color="auto"/>
            </w:tcBorders>
            <w:shd w:val="clear" w:color="auto" w:fill="F2F2F2" w:themeFill="background1" w:themeFillShade="F2"/>
            <w:noWrap/>
            <w:vAlign w:val="bottom"/>
            <w:hideMark/>
          </w:tcPr>
          <w:p w:rsidR="00EB0A91" w:rsidRPr="0026691B" w:rsidRDefault="00EB0A91" w:rsidP="006E67C7">
            <w:pPr>
              <w:spacing w:after="0" w:line="240" w:lineRule="auto"/>
              <w:jc w:val="right"/>
              <w:rPr>
                <w:rFonts w:ascii="Calibri" w:eastAsia="Times New Roman" w:hAnsi="Calibri" w:cs="Calibri"/>
                <w:lang w:eastAsia="en-GB"/>
              </w:rPr>
            </w:pPr>
            <w:r w:rsidRPr="0026691B">
              <w:rPr>
                <w:rFonts w:ascii="Calibri" w:eastAsia="Times New Roman" w:hAnsi="Calibri" w:cs="Calibri"/>
                <w:lang w:eastAsia="en-GB"/>
              </w:rPr>
              <w:t>25</w:t>
            </w:r>
          </w:p>
        </w:tc>
        <w:tc>
          <w:tcPr>
            <w:tcW w:w="810" w:type="dxa"/>
            <w:tcBorders>
              <w:top w:val="nil"/>
              <w:left w:val="single" w:sz="4" w:space="0" w:color="auto"/>
              <w:right w:val="single" w:sz="4" w:space="0" w:color="auto"/>
            </w:tcBorders>
            <w:shd w:val="clear" w:color="000000" w:fill="FFF2CC"/>
            <w:noWrap/>
            <w:vAlign w:val="bottom"/>
            <w:hideMark/>
          </w:tcPr>
          <w:p w:rsidR="00EB0A91" w:rsidRPr="0026691B" w:rsidRDefault="00EB0A91" w:rsidP="006E67C7">
            <w:pPr>
              <w:spacing w:after="0" w:line="240" w:lineRule="auto"/>
              <w:jc w:val="right"/>
              <w:rPr>
                <w:rFonts w:ascii="Calibri" w:eastAsia="Times New Roman" w:hAnsi="Calibri" w:cs="Calibri"/>
                <w:lang w:eastAsia="en-GB"/>
              </w:rPr>
            </w:pPr>
            <w:r w:rsidRPr="0026691B">
              <w:rPr>
                <w:rFonts w:ascii="Calibri" w:eastAsia="Times New Roman" w:hAnsi="Calibri" w:cs="Calibri"/>
                <w:lang w:eastAsia="en-GB"/>
              </w:rPr>
              <w:t>44.0%</w:t>
            </w:r>
          </w:p>
        </w:tc>
        <w:tc>
          <w:tcPr>
            <w:tcW w:w="764" w:type="dxa"/>
            <w:tcBorders>
              <w:top w:val="nil"/>
              <w:left w:val="single" w:sz="4" w:space="0" w:color="auto"/>
              <w:right w:val="single" w:sz="4" w:space="0" w:color="auto"/>
            </w:tcBorders>
            <w:shd w:val="clear" w:color="000000" w:fill="FFF2CC"/>
            <w:noWrap/>
            <w:vAlign w:val="bottom"/>
            <w:hideMark/>
          </w:tcPr>
          <w:p w:rsidR="00EB0A91" w:rsidRPr="0026691B" w:rsidRDefault="00EB0A91" w:rsidP="006E67C7">
            <w:pPr>
              <w:spacing w:after="0" w:line="240" w:lineRule="auto"/>
              <w:jc w:val="right"/>
              <w:rPr>
                <w:rFonts w:ascii="Calibri" w:eastAsia="Times New Roman" w:hAnsi="Calibri" w:cs="Calibri"/>
                <w:lang w:eastAsia="en-GB"/>
              </w:rPr>
            </w:pPr>
            <w:r w:rsidRPr="0026691B">
              <w:rPr>
                <w:rFonts w:ascii="Calibri" w:eastAsia="Times New Roman" w:hAnsi="Calibri" w:cs="Calibri"/>
                <w:lang w:eastAsia="en-GB"/>
              </w:rPr>
              <w:t>0.3%</w:t>
            </w:r>
          </w:p>
        </w:tc>
      </w:tr>
    </w:tbl>
    <w:p w:rsidR="00EB0A91" w:rsidRPr="0026691B" w:rsidRDefault="00EB0A91" w:rsidP="00F639D8">
      <w:pPr>
        <w:spacing w:after="100"/>
        <w:rPr>
          <w:rFonts w:ascii="Arial" w:hAnsi="Arial" w:cs="Arial"/>
          <w:b/>
        </w:rPr>
      </w:pPr>
    </w:p>
    <w:p w:rsidR="00F639D8" w:rsidRPr="0026691B" w:rsidRDefault="00F639D8" w:rsidP="00F639D8">
      <w:pPr>
        <w:spacing w:after="100"/>
        <w:rPr>
          <w:rFonts w:ascii="Arial" w:hAnsi="Arial" w:cs="Arial"/>
          <w:b/>
        </w:rPr>
      </w:pPr>
      <w:r w:rsidRPr="0026691B">
        <w:rPr>
          <w:rFonts w:ascii="Arial" w:hAnsi="Arial" w:cs="Arial"/>
          <w:b/>
        </w:rPr>
        <w:t xml:space="preserve">As can be seen on page 5 if consultant and ad-hoc grades are removed from the calculations, the gap is lowered. </w:t>
      </w:r>
    </w:p>
    <w:p w:rsidR="008B2E31" w:rsidRPr="0026691B" w:rsidRDefault="008B2E31" w:rsidP="008B2E31">
      <w:pPr>
        <w:rPr>
          <w:rFonts w:ascii="Arial" w:hAnsi="Arial" w:cs="Arial"/>
          <w:b/>
        </w:rPr>
      </w:pPr>
      <w:r w:rsidRPr="0026691B">
        <w:rPr>
          <w:rFonts w:ascii="Arial" w:hAnsi="Arial" w:cs="Arial"/>
          <w:b/>
          <w:highlight w:val="lightGray"/>
        </w:rPr>
        <w:t>BOARD REPRESENTATION BY GENDER</w:t>
      </w:r>
      <w:r w:rsidRPr="0026691B">
        <w:rPr>
          <w:rFonts w:ascii="Arial" w:hAnsi="Arial" w:cs="Arial"/>
          <w:b/>
        </w:rPr>
        <w:t xml:space="preserve"> </w:t>
      </w:r>
    </w:p>
    <w:tbl>
      <w:tblPr>
        <w:tblW w:w="0" w:type="auto"/>
        <w:tblInd w:w="-38" w:type="dxa"/>
        <w:tblLayout w:type="fixed"/>
        <w:tblLook w:val="0000" w:firstRow="0" w:lastRow="0" w:firstColumn="0" w:lastColumn="0" w:noHBand="0" w:noVBand="0"/>
      </w:tblPr>
      <w:tblGrid>
        <w:gridCol w:w="3291"/>
        <w:gridCol w:w="1008"/>
        <w:gridCol w:w="1008"/>
        <w:gridCol w:w="819"/>
        <w:gridCol w:w="1008"/>
        <w:gridCol w:w="1217"/>
      </w:tblGrid>
      <w:tr w:rsidR="008B2E31" w:rsidRPr="0026691B" w:rsidTr="008B2E31">
        <w:trPr>
          <w:trHeight w:val="290"/>
        </w:trPr>
        <w:tc>
          <w:tcPr>
            <w:tcW w:w="6126" w:type="dxa"/>
            <w:gridSpan w:val="4"/>
            <w:tcBorders>
              <w:top w:val="single" w:sz="6" w:space="0" w:color="auto"/>
              <w:left w:val="single" w:sz="6" w:space="0" w:color="auto"/>
              <w:bottom w:val="single" w:sz="6" w:space="0" w:color="auto"/>
              <w:right w:val="nil"/>
            </w:tcBorders>
            <w:shd w:val="clear" w:color="auto" w:fill="B8CCE4" w:themeFill="accent1" w:themeFillTint="66"/>
          </w:tcPr>
          <w:p w:rsidR="008B2E31" w:rsidRPr="0026691B" w:rsidRDefault="008B2E31" w:rsidP="008B2E31">
            <w:pPr>
              <w:adjustRightInd w:val="0"/>
              <w:spacing w:after="0"/>
              <w:jc w:val="right"/>
              <w:rPr>
                <w:sz w:val="24"/>
                <w:szCs w:val="24"/>
              </w:rPr>
            </w:pPr>
            <w:r w:rsidRPr="0026691B">
              <w:rPr>
                <w:b/>
                <w:bCs/>
                <w:sz w:val="24"/>
                <w:szCs w:val="24"/>
              </w:rPr>
              <w:t xml:space="preserve">BHFT  BOARD AND DIRECTORS at April 2021 </w:t>
            </w:r>
            <w:r w:rsidR="0026691B">
              <w:rPr>
                <w:b/>
                <w:bCs/>
                <w:sz w:val="24"/>
                <w:szCs w:val="24"/>
              </w:rPr>
              <w:t>and 2022</w:t>
            </w:r>
          </w:p>
        </w:tc>
        <w:tc>
          <w:tcPr>
            <w:tcW w:w="1008" w:type="dxa"/>
            <w:tcBorders>
              <w:top w:val="single" w:sz="6" w:space="0" w:color="auto"/>
              <w:left w:val="nil"/>
              <w:bottom w:val="single" w:sz="6" w:space="0" w:color="auto"/>
              <w:right w:val="nil"/>
            </w:tcBorders>
            <w:shd w:val="clear" w:color="auto" w:fill="B8CCE4" w:themeFill="accent1" w:themeFillTint="66"/>
          </w:tcPr>
          <w:p w:rsidR="008B2E31" w:rsidRPr="0026691B" w:rsidRDefault="008B2E31" w:rsidP="008B2E31">
            <w:pPr>
              <w:adjustRightInd w:val="0"/>
              <w:spacing w:after="0"/>
              <w:jc w:val="right"/>
              <w:rPr>
                <w:sz w:val="24"/>
                <w:szCs w:val="24"/>
              </w:rPr>
            </w:pPr>
          </w:p>
        </w:tc>
        <w:tc>
          <w:tcPr>
            <w:tcW w:w="1217" w:type="dxa"/>
            <w:tcBorders>
              <w:top w:val="single" w:sz="6" w:space="0" w:color="auto"/>
              <w:left w:val="nil"/>
              <w:bottom w:val="single" w:sz="6" w:space="0" w:color="auto"/>
              <w:right w:val="single" w:sz="6" w:space="0" w:color="auto"/>
            </w:tcBorders>
            <w:shd w:val="clear" w:color="auto" w:fill="B8CCE4" w:themeFill="accent1" w:themeFillTint="66"/>
          </w:tcPr>
          <w:p w:rsidR="008B2E31" w:rsidRPr="0026691B" w:rsidRDefault="008B2E31" w:rsidP="008B2E31">
            <w:pPr>
              <w:adjustRightInd w:val="0"/>
              <w:spacing w:after="0"/>
              <w:jc w:val="right"/>
              <w:rPr>
                <w:sz w:val="24"/>
                <w:szCs w:val="24"/>
              </w:rPr>
            </w:pPr>
          </w:p>
        </w:tc>
      </w:tr>
      <w:tr w:rsidR="008B2E31" w:rsidRPr="0026691B" w:rsidTr="008B2E31">
        <w:trPr>
          <w:trHeight w:val="32"/>
        </w:trPr>
        <w:tc>
          <w:tcPr>
            <w:tcW w:w="329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B2E31" w:rsidRPr="0026691B" w:rsidRDefault="008B2E31" w:rsidP="008B2E31">
            <w:pPr>
              <w:adjustRightInd w:val="0"/>
              <w:spacing w:after="0"/>
              <w:rPr>
                <w:b/>
                <w:bCs/>
                <w:sz w:val="24"/>
                <w:szCs w:val="24"/>
              </w:rPr>
            </w:pPr>
            <w:r w:rsidRPr="0026691B">
              <w:rPr>
                <w:b/>
                <w:bCs/>
                <w:sz w:val="24"/>
                <w:szCs w:val="24"/>
              </w:rPr>
              <w:t>Category</w:t>
            </w:r>
          </w:p>
        </w:tc>
        <w:tc>
          <w:tcPr>
            <w:tcW w:w="10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B2E31" w:rsidRPr="0026691B" w:rsidRDefault="008B2E31" w:rsidP="008B2E31">
            <w:pPr>
              <w:adjustRightInd w:val="0"/>
              <w:spacing w:after="0"/>
              <w:jc w:val="center"/>
              <w:rPr>
                <w:b/>
                <w:bCs/>
                <w:sz w:val="24"/>
                <w:szCs w:val="24"/>
              </w:rPr>
            </w:pPr>
            <w:r w:rsidRPr="0026691B">
              <w:rPr>
                <w:b/>
                <w:bCs/>
                <w:sz w:val="24"/>
                <w:szCs w:val="24"/>
              </w:rPr>
              <w:t xml:space="preserve">male </w:t>
            </w:r>
          </w:p>
        </w:tc>
        <w:tc>
          <w:tcPr>
            <w:tcW w:w="10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B2E31" w:rsidRPr="0026691B" w:rsidRDefault="008B2E31" w:rsidP="008B2E31">
            <w:pPr>
              <w:adjustRightInd w:val="0"/>
              <w:spacing w:after="0"/>
              <w:jc w:val="center"/>
              <w:rPr>
                <w:b/>
                <w:bCs/>
                <w:sz w:val="24"/>
                <w:szCs w:val="24"/>
              </w:rPr>
            </w:pPr>
            <w:r w:rsidRPr="0026691B">
              <w:rPr>
                <w:b/>
                <w:bCs/>
                <w:sz w:val="24"/>
                <w:szCs w:val="24"/>
              </w:rPr>
              <w:t xml:space="preserve">female </w:t>
            </w:r>
          </w:p>
        </w:tc>
        <w:tc>
          <w:tcPr>
            <w:tcW w:w="81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B2E31" w:rsidRPr="0026691B" w:rsidRDefault="008B2E31" w:rsidP="008B2E31">
            <w:pPr>
              <w:adjustRightInd w:val="0"/>
              <w:spacing w:after="0"/>
              <w:jc w:val="center"/>
              <w:rPr>
                <w:b/>
                <w:bCs/>
                <w:sz w:val="24"/>
                <w:szCs w:val="24"/>
              </w:rPr>
            </w:pPr>
            <w:r w:rsidRPr="0026691B">
              <w:rPr>
                <w:b/>
                <w:bCs/>
                <w:sz w:val="24"/>
                <w:szCs w:val="24"/>
              </w:rPr>
              <w:t xml:space="preserve">total </w:t>
            </w:r>
          </w:p>
        </w:tc>
        <w:tc>
          <w:tcPr>
            <w:tcW w:w="10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B2E31" w:rsidRPr="0026691B" w:rsidRDefault="008B2E31" w:rsidP="008B2E31">
            <w:pPr>
              <w:adjustRightInd w:val="0"/>
              <w:spacing w:after="0"/>
              <w:jc w:val="center"/>
              <w:rPr>
                <w:b/>
                <w:bCs/>
                <w:sz w:val="24"/>
                <w:szCs w:val="24"/>
              </w:rPr>
            </w:pPr>
            <w:r w:rsidRPr="0026691B">
              <w:rPr>
                <w:b/>
                <w:bCs/>
                <w:sz w:val="24"/>
                <w:szCs w:val="24"/>
              </w:rPr>
              <w:t>male %</w:t>
            </w:r>
          </w:p>
        </w:tc>
        <w:tc>
          <w:tcPr>
            <w:tcW w:w="121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B2E31" w:rsidRPr="0026691B" w:rsidRDefault="008B2E31" w:rsidP="008B2E31">
            <w:pPr>
              <w:adjustRightInd w:val="0"/>
              <w:spacing w:after="0"/>
              <w:jc w:val="center"/>
              <w:rPr>
                <w:b/>
                <w:bCs/>
                <w:sz w:val="24"/>
                <w:szCs w:val="24"/>
              </w:rPr>
            </w:pPr>
            <w:r w:rsidRPr="0026691B">
              <w:rPr>
                <w:b/>
                <w:bCs/>
                <w:sz w:val="24"/>
                <w:szCs w:val="24"/>
              </w:rPr>
              <w:t xml:space="preserve">female % </w:t>
            </w:r>
          </w:p>
        </w:tc>
      </w:tr>
      <w:tr w:rsidR="008B2E31" w:rsidRPr="0026691B" w:rsidTr="008B2E31">
        <w:trPr>
          <w:trHeight w:val="290"/>
        </w:trPr>
        <w:tc>
          <w:tcPr>
            <w:tcW w:w="3291" w:type="dxa"/>
            <w:tcBorders>
              <w:top w:val="single" w:sz="6" w:space="0" w:color="auto"/>
              <w:left w:val="single" w:sz="6" w:space="0" w:color="auto"/>
              <w:bottom w:val="nil"/>
              <w:right w:val="single" w:sz="6" w:space="0" w:color="auto"/>
            </w:tcBorders>
            <w:shd w:val="clear" w:color="99CCFF" w:fill="B8CCE4" w:themeFill="accent1" w:themeFillTint="66"/>
          </w:tcPr>
          <w:p w:rsidR="008B2E31" w:rsidRPr="0026691B" w:rsidRDefault="008B2E31" w:rsidP="008B2E31">
            <w:pPr>
              <w:adjustRightInd w:val="0"/>
              <w:spacing w:after="0"/>
              <w:rPr>
                <w:b/>
                <w:bCs/>
                <w:sz w:val="24"/>
                <w:szCs w:val="24"/>
              </w:rPr>
            </w:pPr>
            <w:r w:rsidRPr="0026691B">
              <w:rPr>
                <w:b/>
                <w:bCs/>
                <w:sz w:val="24"/>
                <w:szCs w:val="24"/>
              </w:rPr>
              <w:t xml:space="preserve">Voting Executive Director </w:t>
            </w:r>
          </w:p>
        </w:tc>
        <w:tc>
          <w:tcPr>
            <w:tcW w:w="1008" w:type="dxa"/>
            <w:tcBorders>
              <w:top w:val="single" w:sz="6" w:space="0" w:color="auto"/>
              <w:left w:val="single" w:sz="6" w:space="0" w:color="auto"/>
              <w:bottom w:val="nil"/>
              <w:right w:val="single" w:sz="6" w:space="0" w:color="auto"/>
            </w:tcBorders>
          </w:tcPr>
          <w:p w:rsidR="008B2E31" w:rsidRPr="0026691B" w:rsidRDefault="008B2E31" w:rsidP="008B2E31">
            <w:pPr>
              <w:adjustRightInd w:val="0"/>
              <w:spacing w:after="0"/>
              <w:jc w:val="center"/>
              <w:rPr>
                <w:sz w:val="24"/>
                <w:szCs w:val="24"/>
              </w:rPr>
            </w:pPr>
            <w:r w:rsidRPr="0026691B">
              <w:rPr>
                <w:sz w:val="24"/>
                <w:szCs w:val="24"/>
              </w:rPr>
              <w:t>3</w:t>
            </w:r>
          </w:p>
        </w:tc>
        <w:tc>
          <w:tcPr>
            <w:tcW w:w="1008" w:type="dxa"/>
            <w:tcBorders>
              <w:top w:val="single" w:sz="6" w:space="0" w:color="auto"/>
              <w:left w:val="single" w:sz="6" w:space="0" w:color="auto"/>
              <w:bottom w:val="nil"/>
              <w:right w:val="single" w:sz="6" w:space="0" w:color="auto"/>
            </w:tcBorders>
          </w:tcPr>
          <w:p w:rsidR="008B2E31" w:rsidRPr="0026691B" w:rsidRDefault="008B2E31" w:rsidP="008B2E31">
            <w:pPr>
              <w:adjustRightInd w:val="0"/>
              <w:spacing w:after="0"/>
              <w:jc w:val="center"/>
              <w:rPr>
                <w:sz w:val="24"/>
                <w:szCs w:val="24"/>
              </w:rPr>
            </w:pPr>
            <w:r w:rsidRPr="0026691B">
              <w:rPr>
                <w:sz w:val="24"/>
                <w:szCs w:val="24"/>
              </w:rPr>
              <w:t>5</w:t>
            </w:r>
          </w:p>
        </w:tc>
        <w:tc>
          <w:tcPr>
            <w:tcW w:w="819" w:type="dxa"/>
            <w:tcBorders>
              <w:top w:val="single" w:sz="6" w:space="0" w:color="auto"/>
              <w:left w:val="single" w:sz="6" w:space="0" w:color="auto"/>
              <w:bottom w:val="nil"/>
              <w:right w:val="single" w:sz="6" w:space="0" w:color="auto"/>
            </w:tcBorders>
            <w:shd w:val="clear" w:color="auto" w:fill="B8CCE4" w:themeFill="accent1" w:themeFillTint="66"/>
          </w:tcPr>
          <w:p w:rsidR="008B2E31" w:rsidRPr="0026691B" w:rsidRDefault="008B2E31" w:rsidP="008B2E31">
            <w:pPr>
              <w:adjustRightInd w:val="0"/>
              <w:spacing w:after="0"/>
              <w:jc w:val="center"/>
              <w:rPr>
                <w:sz w:val="24"/>
                <w:szCs w:val="24"/>
              </w:rPr>
            </w:pPr>
            <w:r w:rsidRPr="0026691B">
              <w:rPr>
                <w:sz w:val="24"/>
                <w:szCs w:val="24"/>
              </w:rPr>
              <w:t>8</w:t>
            </w:r>
          </w:p>
        </w:tc>
        <w:tc>
          <w:tcPr>
            <w:tcW w:w="1008" w:type="dxa"/>
            <w:tcBorders>
              <w:top w:val="single" w:sz="6" w:space="0" w:color="auto"/>
              <w:left w:val="single" w:sz="6" w:space="0" w:color="auto"/>
              <w:bottom w:val="nil"/>
              <w:right w:val="single" w:sz="6" w:space="0" w:color="auto"/>
            </w:tcBorders>
          </w:tcPr>
          <w:p w:rsidR="008B2E31" w:rsidRPr="0026691B" w:rsidRDefault="008B2E31" w:rsidP="008B2E31">
            <w:pPr>
              <w:adjustRightInd w:val="0"/>
              <w:spacing w:after="0"/>
              <w:jc w:val="center"/>
              <w:rPr>
                <w:sz w:val="24"/>
                <w:szCs w:val="24"/>
              </w:rPr>
            </w:pPr>
            <w:r w:rsidRPr="0026691B">
              <w:rPr>
                <w:sz w:val="24"/>
                <w:szCs w:val="24"/>
              </w:rPr>
              <w:t>37.5%</w:t>
            </w:r>
          </w:p>
        </w:tc>
        <w:tc>
          <w:tcPr>
            <w:tcW w:w="1217" w:type="dxa"/>
            <w:tcBorders>
              <w:top w:val="single" w:sz="6" w:space="0" w:color="auto"/>
              <w:left w:val="single" w:sz="6" w:space="0" w:color="auto"/>
              <w:bottom w:val="nil"/>
              <w:right w:val="single" w:sz="6" w:space="0" w:color="auto"/>
            </w:tcBorders>
          </w:tcPr>
          <w:p w:rsidR="008B2E31" w:rsidRPr="0026691B" w:rsidRDefault="008B2E31" w:rsidP="008B2E31">
            <w:pPr>
              <w:adjustRightInd w:val="0"/>
              <w:spacing w:after="0"/>
              <w:jc w:val="center"/>
              <w:rPr>
                <w:sz w:val="24"/>
                <w:szCs w:val="24"/>
              </w:rPr>
            </w:pPr>
            <w:r w:rsidRPr="0026691B">
              <w:rPr>
                <w:sz w:val="24"/>
                <w:szCs w:val="24"/>
              </w:rPr>
              <w:t>62.5%</w:t>
            </w:r>
          </w:p>
        </w:tc>
      </w:tr>
      <w:tr w:rsidR="008B2E31" w:rsidRPr="0026691B" w:rsidTr="008B2E31">
        <w:trPr>
          <w:trHeight w:val="290"/>
        </w:trPr>
        <w:tc>
          <w:tcPr>
            <w:tcW w:w="3291" w:type="dxa"/>
            <w:tcBorders>
              <w:top w:val="nil"/>
              <w:left w:val="single" w:sz="6" w:space="0" w:color="auto"/>
              <w:bottom w:val="nil"/>
              <w:right w:val="single" w:sz="6" w:space="0" w:color="auto"/>
            </w:tcBorders>
            <w:shd w:val="clear" w:color="99CCFF" w:fill="B8CCE4" w:themeFill="accent1" w:themeFillTint="66"/>
          </w:tcPr>
          <w:p w:rsidR="008B2E31" w:rsidRPr="0026691B" w:rsidRDefault="008B2E31" w:rsidP="008B2E31">
            <w:pPr>
              <w:adjustRightInd w:val="0"/>
              <w:spacing w:after="0"/>
              <w:rPr>
                <w:b/>
                <w:bCs/>
                <w:sz w:val="24"/>
                <w:szCs w:val="24"/>
              </w:rPr>
            </w:pPr>
            <w:r w:rsidRPr="0026691B">
              <w:rPr>
                <w:b/>
                <w:bCs/>
                <w:sz w:val="24"/>
                <w:szCs w:val="24"/>
              </w:rPr>
              <w:t xml:space="preserve">Voting Non-Executive Director </w:t>
            </w:r>
          </w:p>
        </w:tc>
        <w:tc>
          <w:tcPr>
            <w:tcW w:w="1008" w:type="dxa"/>
            <w:tcBorders>
              <w:top w:val="nil"/>
              <w:left w:val="single" w:sz="6" w:space="0" w:color="auto"/>
              <w:bottom w:val="nil"/>
              <w:right w:val="single" w:sz="6" w:space="0" w:color="auto"/>
            </w:tcBorders>
          </w:tcPr>
          <w:p w:rsidR="008B2E31" w:rsidRPr="0026691B" w:rsidRDefault="008B2E31" w:rsidP="008B2E31">
            <w:pPr>
              <w:adjustRightInd w:val="0"/>
              <w:spacing w:after="0"/>
              <w:jc w:val="center"/>
              <w:rPr>
                <w:sz w:val="24"/>
                <w:szCs w:val="24"/>
              </w:rPr>
            </w:pPr>
            <w:r w:rsidRPr="0026691B">
              <w:rPr>
                <w:sz w:val="24"/>
                <w:szCs w:val="24"/>
              </w:rPr>
              <w:t>7</w:t>
            </w:r>
          </w:p>
        </w:tc>
        <w:tc>
          <w:tcPr>
            <w:tcW w:w="1008" w:type="dxa"/>
            <w:tcBorders>
              <w:top w:val="nil"/>
              <w:left w:val="single" w:sz="6" w:space="0" w:color="auto"/>
              <w:bottom w:val="nil"/>
              <w:right w:val="single" w:sz="6" w:space="0" w:color="auto"/>
            </w:tcBorders>
          </w:tcPr>
          <w:p w:rsidR="008B2E31" w:rsidRPr="0026691B" w:rsidRDefault="008B2E31" w:rsidP="008B2E31">
            <w:pPr>
              <w:adjustRightInd w:val="0"/>
              <w:spacing w:after="0"/>
              <w:jc w:val="center"/>
              <w:rPr>
                <w:sz w:val="24"/>
                <w:szCs w:val="24"/>
              </w:rPr>
            </w:pPr>
            <w:r w:rsidRPr="0026691B">
              <w:rPr>
                <w:sz w:val="24"/>
                <w:szCs w:val="24"/>
              </w:rPr>
              <w:t>1</w:t>
            </w:r>
          </w:p>
        </w:tc>
        <w:tc>
          <w:tcPr>
            <w:tcW w:w="819" w:type="dxa"/>
            <w:tcBorders>
              <w:top w:val="nil"/>
              <w:left w:val="single" w:sz="6" w:space="0" w:color="auto"/>
              <w:bottom w:val="nil"/>
              <w:right w:val="single" w:sz="6" w:space="0" w:color="auto"/>
            </w:tcBorders>
            <w:shd w:val="clear" w:color="auto" w:fill="B8CCE4" w:themeFill="accent1" w:themeFillTint="66"/>
          </w:tcPr>
          <w:p w:rsidR="008B2E31" w:rsidRPr="0026691B" w:rsidRDefault="008B2E31" w:rsidP="008B2E31">
            <w:pPr>
              <w:adjustRightInd w:val="0"/>
              <w:spacing w:after="0"/>
              <w:jc w:val="center"/>
              <w:rPr>
                <w:sz w:val="24"/>
                <w:szCs w:val="24"/>
              </w:rPr>
            </w:pPr>
            <w:r w:rsidRPr="0026691B">
              <w:rPr>
                <w:sz w:val="24"/>
                <w:szCs w:val="24"/>
              </w:rPr>
              <w:t>8</w:t>
            </w:r>
          </w:p>
        </w:tc>
        <w:tc>
          <w:tcPr>
            <w:tcW w:w="1008" w:type="dxa"/>
            <w:tcBorders>
              <w:top w:val="nil"/>
              <w:left w:val="single" w:sz="6" w:space="0" w:color="auto"/>
              <w:bottom w:val="nil"/>
              <w:right w:val="single" w:sz="6" w:space="0" w:color="auto"/>
            </w:tcBorders>
          </w:tcPr>
          <w:p w:rsidR="008B2E31" w:rsidRPr="0026691B" w:rsidRDefault="008B2E31" w:rsidP="008B2E31">
            <w:pPr>
              <w:adjustRightInd w:val="0"/>
              <w:spacing w:after="0"/>
              <w:jc w:val="center"/>
              <w:rPr>
                <w:sz w:val="24"/>
                <w:szCs w:val="24"/>
              </w:rPr>
            </w:pPr>
            <w:r w:rsidRPr="0026691B">
              <w:rPr>
                <w:sz w:val="24"/>
                <w:szCs w:val="24"/>
              </w:rPr>
              <w:t>87.5%</w:t>
            </w:r>
          </w:p>
        </w:tc>
        <w:tc>
          <w:tcPr>
            <w:tcW w:w="1217" w:type="dxa"/>
            <w:tcBorders>
              <w:top w:val="nil"/>
              <w:left w:val="single" w:sz="6" w:space="0" w:color="auto"/>
              <w:bottom w:val="nil"/>
              <w:right w:val="single" w:sz="6" w:space="0" w:color="auto"/>
            </w:tcBorders>
          </w:tcPr>
          <w:p w:rsidR="008B2E31" w:rsidRPr="0026691B" w:rsidRDefault="008B2E31" w:rsidP="008B2E31">
            <w:pPr>
              <w:adjustRightInd w:val="0"/>
              <w:spacing w:after="0"/>
              <w:jc w:val="center"/>
              <w:rPr>
                <w:sz w:val="24"/>
                <w:szCs w:val="24"/>
              </w:rPr>
            </w:pPr>
            <w:r w:rsidRPr="0026691B">
              <w:rPr>
                <w:sz w:val="24"/>
                <w:szCs w:val="24"/>
              </w:rPr>
              <w:t>12.5%</w:t>
            </w:r>
          </w:p>
        </w:tc>
      </w:tr>
      <w:tr w:rsidR="008B2E31" w:rsidRPr="0026691B" w:rsidTr="008B2E31">
        <w:trPr>
          <w:trHeight w:val="290"/>
        </w:trPr>
        <w:tc>
          <w:tcPr>
            <w:tcW w:w="3291" w:type="dxa"/>
            <w:tcBorders>
              <w:top w:val="nil"/>
              <w:left w:val="single" w:sz="6" w:space="0" w:color="auto"/>
              <w:bottom w:val="single" w:sz="6" w:space="0" w:color="auto"/>
              <w:right w:val="single" w:sz="6" w:space="0" w:color="auto"/>
            </w:tcBorders>
            <w:shd w:val="clear" w:color="99CCFF" w:fill="B8CCE4" w:themeFill="accent1" w:themeFillTint="66"/>
          </w:tcPr>
          <w:p w:rsidR="008B2E31" w:rsidRPr="0026691B" w:rsidRDefault="008B2E31" w:rsidP="008B2E31">
            <w:pPr>
              <w:adjustRightInd w:val="0"/>
              <w:spacing w:after="0"/>
              <w:rPr>
                <w:b/>
                <w:bCs/>
                <w:sz w:val="24"/>
                <w:szCs w:val="24"/>
              </w:rPr>
            </w:pPr>
            <w:r w:rsidRPr="0026691B">
              <w:rPr>
                <w:b/>
                <w:bCs/>
                <w:sz w:val="24"/>
                <w:szCs w:val="24"/>
              </w:rPr>
              <w:t xml:space="preserve">Non-Voting Director </w:t>
            </w:r>
          </w:p>
        </w:tc>
        <w:tc>
          <w:tcPr>
            <w:tcW w:w="1008" w:type="dxa"/>
            <w:tcBorders>
              <w:top w:val="nil"/>
              <w:left w:val="single" w:sz="6" w:space="0" w:color="auto"/>
              <w:bottom w:val="single" w:sz="6" w:space="0" w:color="auto"/>
              <w:right w:val="single" w:sz="6" w:space="0" w:color="auto"/>
            </w:tcBorders>
          </w:tcPr>
          <w:p w:rsidR="008B2E31" w:rsidRPr="0026691B" w:rsidRDefault="008B2E31" w:rsidP="008B2E31">
            <w:pPr>
              <w:adjustRightInd w:val="0"/>
              <w:spacing w:after="0"/>
              <w:jc w:val="center"/>
              <w:rPr>
                <w:sz w:val="24"/>
                <w:szCs w:val="24"/>
              </w:rPr>
            </w:pPr>
            <w:r w:rsidRPr="0026691B">
              <w:rPr>
                <w:sz w:val="24"/>
                <w:szCs w:val="24"/>
              </w:rPr>
              <w:t>2</w:t>
            </w:r>
          </w:p>
        </w:tc>
        <w:tc>
          <w:tcPr>
            <w:tcW w:w="1008" w:type="dxa"/>
            <w:tcBorders>
              <w:top w:val="nil"/>
              <w:left w:val="single" w:sz="6" w:space="0" w:color="auto"/>
              <w:bottom w:val="single" w:sz="6" w:space="0" w:color="auto"/>
              <w:right w:val="single" w:sz="6" w:space="0" w:color="auto"/>
            </w:tcBorders>
          </w:tcPr>
          <w:p w:rsidR="008B2E31" w:rsidRPr="0026691B" w:rsidRDefault="008B2E31" w:rsidP="008B2E31">
            <w:pPr>
              <w:adjustRightInd w:val="0"/>
              <w:spacing w:after="0"/>
              <w:jc w:val="center"/>
              <w:rPr>
                <w:sz w:val="24"/>
                <w:szCs w:val="24"/>
              </w:rPr>
            </w:pPr>
            <w:r w:rsidRPr="0026691B">
              <w:rPr>
                <w:sz w:val="24"/>
                <w:szCs w:val="24"/>
              </w:rPr>
              <w:t>3</w:t>
            </w:r>
          </w:p>
        </w:tc>
        <w:tc>
          <w:tcPr>
            <w:tcW w:w="819" w:type="dxa"/>
            <w:tcBorders>
              <w:top w:val="nil"/>
              <w:left w:val="single" w:sz="6" w:space="0" w:color="auto"/>
              <w:bottom w:val="single" w:sz="6" w:space="0" w:color="auto"/>
              <w:right w:val="single" w:sz="6" w:space="0" w:color="auto"/>
            </w:tcBorders>
            <w:shd w:val="clear" w:color="auto" w:fill="B8CCE4" w:themeFill="accent1" w:themeFillTint="66"/>
          </w:tcPr>
          <w:p w:rsidR="008B2E31" w:rsidRPr="0026691B" w:rsidRDefault="008B2E31" w:rsidP="008B2E31">
            <w:pPr>
              <w:adjustRightInd w:val="0"/>
              <w:spacing w:after="0"/>
              <w:jc w:val="center"/>
              <w:rPr>
                <w:sz w:val="24"/>
                <w:szCs w:val="24"/>
              </w:rPr>
            </w:pPr>
            <w:r w:rsidRPr="0026691B">
              <w:rPr>
                <w:sz w:val="24"/>
                <w:szCs w:val="24"/>
              </w:rPr>
              <w:t>5</w:t>
            </w:r>
          </w:p>
        </w:tc>
        <w:tc>
          <w:tcPr>
            <w:tcW w:w="1008" w:type="dxa"/>
            <w:tcBorders>
              <w:top w:val="nil"/>
              <w:left w:val="single" w:sz="6" w:space="0" w:color="auto"/>
              <w:bottom w:val="single" w:sz="6" w:space="0" w:color="auto"/>
              <w:right w:val="single" w:sz="6" w:space="0" w:color="auto"/>
            </w:tcBorders>
          </w:tcPr>
          <w:p w:rsidR="008B2E31" w:rsidRPr="0026691B" w:rsidRDefault="008B2E31" w:rsidP="008B2E31">
            <w:pPr>
              <w:adjustRightInd w:val="0"/>
              <w:spacing w:after="0"/>
              <w:jc w:val="center"/>
              <w:rPr>
                <w:sz w:val="24"/>
                <w:szCs w:val="24"/>
              </w:rPr>
            </w:pPr>
            <w:r w:rsidRPr="0026691B">
              <w:rPr>
                <w:sz w:val="24"/>
                <w:szCs w:val="24"/>
              </w:rPr>
              <w:t>40.0%</w:t>
            </w:r>
          </w:p>
        </w:tc>
        <w:tc>
          <w:tcPr>
            <w:tcW w:w="1217" w:type="dxa"/>
            <w:tcBorders>
              <w:top w:val="nil"/>
              <w:left w:val="single" w:sz="6" w:space="0" w:color="auto"/>
              <w:bottom w:val="single" w:sz="6" w:space="0" w:color="auto"/>
              <w:right w:val="single" w:sz="6" w:space="0" w:color="auto"/>
            </w:tcBorders>
          </w:tcPr>
          <w:p w:rsidR="008B2E31" w:rsidRPr="0026691B" w:rsidRDefault="008B2E31" w:rsidP="008B2E31">
            <w:pPr>
              <w:adjustRightInd w:val="0"/>
              <w:spacing w:after="0"/>
              <w:jc w:val="center"/>
              <w:rPr>
                <w:sz w:val="24"/>
                <w:szCs w:val="24"/>
              </w:rPr>
            </w:pPr>
            <w:r w:rsidRPr="0026691B">
              <w:rPr>
                <w:sz w:val="24"/>
                <w:szCs w:val="24"/>
              </w:rPr>
              <w:t>60.0%</w:t>
            </w:r>
          </w:p>
        </w:tc>
      </w:tr>
      <w:tr w:rsidR="008B2E31" w:rsidRPr="0026691B" w:rsidTr="008B2E31">
        <w:trPr>
          <w:trHeight w:val="290"/>
        </w:trPr>
        <w:tc>
          <w:tcPr>
            <w:tcW w:w="3291" w:type="dxa"/>
            <w:tcBorders>
              <w:top w:val="single" w:sz="6" w:space="0" w:color="auto"/>
              <w:left w:val="single" w:sz="6" w:space="0" w:color="auto"/>
              <w:bottom w:val="single" w:sz="6" w:space="0" w:color="auto"/>
              <w:right w:val="single" w:sz="6" w:space="0" w:color="auto"/>
            </w:tcBorders>
            <w:shd w:val="clear" w:color="99CCFF" w:fill="B8CCE4" w:themeFill="accent1" w:themeFillTint="66"/>
          </w:tcPr>
          <w:p w:rsidR="008B2E31" w:rsidRPr="0026691B" w:rsidRDefault="008B2E31" w:rsidP="008B2E31">
            <w:pPr>
              <w:adjustRightInd w:val="0"/>
              <w:spacing w:after="0"/>
              <w:rPr>
                <w:b/>
                <w:bCs/>
                <w:sz w:val="24"/>
                <w:szCs w:val="24"/>
              </w:rPr>
            </w:pPr>
            <w:r w:rsidRPr="0026691B">
              <w:rPr>
                <w:b/>
                <w:bCs/>
                <w:sz w:val="24"/>
                <w:szCs w:val="24"/>
              </w:rPr>
              <w:t xml:space="preserve">Total </w:t>
            </w:r>
          </w:p>
        </w:tc>
        <w:tc>
          <w:tcPr>
            <w:tcW w:w="1008" w:type="dxa"/>
            <w:tcBorders>
              <w:top w:val="single" w:sz="6" w:space="0" w:color="auto"/>
              <w:left w:val="single" w:sz="6" w:space="0" w:color="auto"/>
              <w:bottom w:val="single" w:sz="6" w:space="0" w:color="auto"/>
              <w:right w:val="single" w:sz="6" w:space="0" w:color="auto"/>
            </w:tcBorders>
          </w:tcPr>
          <w:p w:rsidR="008B2E31" w:rsidRPr="0026691B" w:rsidRDefault="008B2E31" w:rsidP="008B2E31">
            <w:pPr>
              <w:adjustRightInd w:val="0"/>
              <w:spacing w:after="0"/>
              <w:jc w:val="center"/>
              <w:rPr>
                <w:sz w:val="24"/>
                <w:szCs w:val="24"/>
              </w:rPr>
            </w:pPr>
            <w:r w:rsidRPr="0026691B">
              <w:rPr>
                <w:sz w:val="24"/>
                <w:szCs w:val="24"/>
              </w:rPr>
              <w:t>12</w:t>
            </w:r>
          </w:p>
        </w:tc>
        <w:tc>
          <w:tcPr>
            <w:tcW w:w="1008" w:type="dxa"/>
            <w:tcBorders>
              <w:top w:val="single" w:sz="6" w:space="0" w:color="auto"/>
              <w:left w:val="single" w:sz="6" w:space="0" w:color="auto"/>
              <w:bottom w:val="single" w:sz="6" w:space="0" w:color="auto"/>
              <w:right w:val="single" w:sz="6" w:space="0" w:color="auto"/>
            </w:tcBorders>
          </w:tcPr>
          <w:p w:rsidR="008B2E31" w:rsidRPr="0026691B" w:rsidRDefault="008B2E31" w:rsidP="008B2E31">
            <w:pPr>
              <w:adjustRightInd w:val="0"/>
              <w:spacing w:after="0"/>
              <w:jc w:val="center"/>
              <w:rPr>
                <w:sz w:val="24"/>
                <w:szCs w:val="24"/>
              </w:rPr>
            </w:pPr>
            <w:r w:rsidRPr="0026691B">
              <w:rPr>
                <w:sz w:val="24"/>
                <w:szCs w:val="24"/>
              </w:rPr>
              <w:t>9</w:t>
            </w:r>
          </w:p>
        </w:tc>
        <w:tc>
          <w:tcPr>
            <w:tcW w:w="81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B2E31" w:rsidRPr="0026691B" w:rsidRDefault="008B2E31" w:rsidP="008B2E31">
            <w:pPr>
              <w:adjustRightInd w:val="0"/>
              <w:spacing w:after="0"/>
              <w:jc w:val="center"/>
              <w:rPr>
                <w:sz w:val="24"/>
                <w:szCs w:val="24"/>
              </w:rPr>
            </w:pPr>
            <w:r w:rsidRPr="0026691B">
              <w:rPr>
                <w:sz w:val="24"/>
                <w:szCs w:val="24"/>
              </w:rPr>
              <w:t>21</w:t>
            </w:r>
          </w:p>
        </w:tc>
        <w:tc>
          <w:tcPr>
            <w:tcW w:w="1008" w:type="dxa"/>
            <w:tcBorders>
              <w:top w:val="single" w:sz="6" w:space="0" w:color="auto"/>
              <w:left w:val="single" w:sz="6" w:space="0" w:color="auto"/>
              <w:bottom w:val="single" w:sz="6" w:space="0" w:color="auto"/>
              <w:right w:val="single" w:sz="6" w:space="0" w:color="auto"/>
            </w:tcBorders>
          </w:tcPr>
          <w:p w:rsidR="008B2E31" w:rsidRPr="0026691B" w:rsidRDefault="008B2E31" w:rsidP="008B2E31">
            <w:pPr>
              <w:adjustRightInd w:val="0"/>
              <w:spacing w:after="0"/>
              <w:jc w:val="center"/>
              <w:rPr>
                <w:sz w:val="24"/>
                <w:szCs w:val="24"/>
              </w:rPr>
            </w:pPr>
            <w:r w:rsidRPr="0026691B">
              <w:rPr>
                <w:sz w:val="24"/>
                <w:szCs w:val="24"/>
              </w:rPr>
              <w:t>57.1%</w:t>
            </w:r>
          </w:p>
        </w:tc>
        <w:tc>
          <w:tcPr>
            <w:tcW w:w="1217" w:type="dxa"/>
            <w:tcBorders>
              <w:top w:val="single" w:sz="6" w:space="0" w:color="auto"/>
              <w:left w:val="single" w:sz="6" w:space="0" w:color="auto"/>
              <w:bottom w:val="single" w:sz="6" w:space="0" w:color="auto"/>
              <w:right w:val="single" w:sz="6" w:space="0" w:color="auto"/>
            </w:tcBorders>
          </w:tcPr>
          <w:p w:rsidR="008B2E31" w:rsidRPr="0026691B" w:rsidRDefault="008B2E31" w:rsidP="008B2E31">
            <w:pPr>
              <w:adjustRightInd w:val="0"/>
              <w:spacing w:after="0"/>
              <w:jc w:val="center"/>
              <w:rPr>
                <w:sz w:val="24"/>
                <w:szCs w:val="24"/>
              </w:rPr>
            </w:pPr>
            <w:r w:rsidRPr="0026691B">
              <w:rPr>
                <w:sz w:val="24"/>
                <w:szCs w:val="24"/>
              </w:rPr>
              <w:t>42.9%</w:t>
            </w:r>
          </w:p>
        </w:tc>
      </w:tr>
      <w:tr w:rsidR="008B2E31" w:rsidRPr="0026691B" w:rsidTr="008B2E31">
        <w:trPr>
          <w:trHeight w:val="290"/>
        </w:trPr>
        <w:tc>
          <w:tcPr>
            <w:tcW w:w="3291" w:type="dxa"/>
            <w:tcBorders>
              <w:top w:val="single" w:sz="6" w:space="0" w:color="auto"/>
              <w:left w:val="single" w:sz="6" w:space="0" w:color="auto"/>
              <w:bottom w:val="single" w:sz="6" w:space="0" w:color="auto"/>
              <w:right w:val="single" w:sz="6" w:space="0" w:color="auto"/>
            </w:tcBorders>
            <w:shd w:val="clear" w:color="99CCFF" w:fill="B8CCE4" w:themeFill="accent1" w:themeFillTint="66"/>
          </w:tcPr>
          <w:p w:rsidR="008B2E31" w:rsidRPr="0026691B" w:rsidRDefault="008B2E31" w:rsidP="008B2E31">
            <w:pPr>
              <w:adjustRightInd w:val="0"/>
              <w:spacing w:after="0"/>
              <w:rPr>
                <w:b/>
                <w:bCs/>
                <w:sz w:val="24"/>
                <w:szCs w:val="24"/>
              </w:rPr>
            </w:pPr>
            <w:r w:rsidRPr="0026691B">
              <w:rPr>
                <w:b/>
                <w:bCs/>
                <w:sz w:val="24"/>
                <w:szCs w:val="24"/>
              </w:rPr>
              <w:t xml:space="preserve">Voting Directors </w:t>
            </w:r>
          </w:p>
        </w:tc>
        <w:tc>
          <w:tcPr>
            <w:tcW w:w="1008" w:type="dxa"/>
            <w:tcBorders>
              <w:top w:val="single" w:sz="6" w:space="0" w:color="auto"/>
              <w:left w:val="single" w:sz="6" w:space="0" w:color="auto"/>
              <w:bottom w:val="single" w:sz="6" w:space="0" w:color="auto"/>
              <w:right w:val="single" w:sz="6" w:space="0" w:color="auto"/>
            </w:tcBorders>
            <w:shd w:val="clear" w:color="auto" w:fill="auto"/>
          </w:tcPr>
          <w:p w:rsidR="008B2E31" w:rsidRPr="0026691B" w:rsidRDefault="008B2E31" w:rsidP="008B2E31">
            <w:pPr>
              <w:adjustRightInd w:val="0"/>
              <w:spacing w:after="0"/>
              <w:jc w:val="center"/>
              <w:rPr>
                <w:sz w:val="24"/>
                <w:szCs w:val="24"/>
              </w:rPr>
            </w:pPr>
            <w:r w:rsidRPr="0026691B">
              <w:rPr>
                <w:sz w:val="24"/>
                <w:szCs w:val="24"/>
              </w:rPr>
              <w:t>10</w:t>
            </w:r>
          </w:p>
        </w:tc>
        <w:tc>
          <w:tcPr>
            <w:tcW w:w="1008" w:type="dxa"/>
            <w:tcBorders>
              <w:top w:val="single" w:sz="6" w:space="0" w:color="auto"/>
              <w:left w:val="single" w:sz="6" w:space="0" w:color="auto"/>
              <w:bottom w:val="single" w:sz="6" w:space="0" w:color="auto"/>
              <w:right w:val="single" w:sz="6" w:space="0" w:color="auto"/>
            </w:tcBorders>
            <w:shd w:val="clear" w:color="auto" w:fill="auto"/>
          </w:tcPr>
          <w:p w:rsidR="008B2E31" w:rsidRPr="0026691B" w:rsidRDefault="008B2E31" w:rsidP="008B2E31">
            <w:pPr>
              <w:adjustRightInd w:val="0"/>
              <w:spacing w:after="0"/>
              <w:jc w:val="center"/>
              <w:rPr>
                <w:sz w:val="24"/>
                <w:szCs w:val="24"/>
              </w:rPr>
            </w:pPr>
            <w:r w:rsidRPr="0026691B">
              <w:rPr>
                <w:sz w:val="24"/>
                <w:szCs w:val="24"/>
              </w:rPr>
              <w:t>6</w:t>
            </w:r>
          </w:p>
        </w:tc>
        <w:tc>
          <w:tcPr>
            <w:tcW w:w="81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B2E31" w:rsidRPr="0026691B" w:rsidRDefault="008B2E31" w:rsidP="008B2E31">
            <w:pPr>
              <w:adjustRightInd w:val="0"/>
              <w:spacing w:after="0"/>
              <w:jc w:val="center"/>
              <w:rPr>
                <w:sz w:val="24"/>
                <w:szCs w:val="24"/>
              </w:rPr>
            </w:pPr>
            <w:r w:rsidRPr="0026691B">
              <w:rPr>
                <w:sz w:val="24"/>
                <w:szCs w:val="24"/>
              </w:rPr>
              <w:t>16</w:t>
            </w:r>
          </w:p>
        </w:tc>
        <w:tc>
          <w:tcPr>
            <w:tcW w:w="1008" w:type="dxa"/>
            <w:tcBorders>
              <w:top w:val="single" w:sz="6" w:space="0" w:color="auto"/>
              <w:left w:val="single" w:sz="6" w:space="0" w:color="auto"/>
              <w:bottom w:val="single" w:sz="6" w:space="0" w:color="auto"/>
              <w:right w:val="single" w:sz="6" w:space="0" w:color="auto"/>
            </w:tcBorders>
            <w:shd w:val="clear" w:color="auto" w:fill="auto"/>
          </w:tcPr>
          <w:p w:rsidR="008B2E31" w:rsidRPr="0026691B" w:rsidRDefault="008B2E31" w:rsidP="008B2E31">
            <w:pPr>
              <w:adjustRightInd w:val="0"/>
              <w:spacing w:after="0"/>
              <w:jc w:val="center"/>
              <w:rPr>
                <w:sz w:val="24"/>
                <w:szCs w:val="24"/>
              </w:rPr>
            </w:pPr>
            <w:r w:rsidRPr="0026691B">
              <w:rPr>
                <w:sz w:val="24"/>
                <w:szCs w:val="24"/>
              </w:rPr>
              <w:t>62.5%</w:t>
            </w:r>
          </w:p>
        </w:tc>
        <w:tc>
          <w:tcPr>
            <w:tcW w:w="1217" w:type="dxa"/>
            <w:tcBorders>
              <w:top w:val="single" w:sz="6" w:space="0" w:color="auto"/>
              <w:left w:val="single" w:sz="6" w:space="0" w:color="auto"/>
              <w:bottom w:val="single" w:sz="6" w:space="0" w:color="auto"/>
              <w:right w:val="single" w:sz="6" w:space="0" w:color="auto"/>
            </w:tcBorders>
            <w:shd w:val="clear" w:color="auto" w:fill="auto"/>
          </w:tcPr>
          <w:p w:rsidR="008B2E31" w:rsidRPr="0026691B" w:rsidRDefault="008B2E31" w:rsidP="008B2E31">
            <w:pPr>
              <w:adjustRightInd w:val="0"/>
              <w:spacing w:after="0"/>
              <w:jc w:val="center"/>
              <w:rPr>
                <w:sz w:val="24"/>
                <w:szCs w:val="24"/>
              </w:rPr>
            </w:pPr>
            <w:r w:rsidRPr="0026691B">
              <w:rPr>
                <w:sz w:val="24"/>
                <w:szCs w:val="24"/>
              </w:rPr>
              <w:t>37.5%</w:t>
            </w:r>
          </w:p>
        </w:tc>
      </w:tr>
    </w:tbl>
    <w:p w:rsidR="008B2E31" w:rsidRPr="0026691B" w:rsidRDefault="008B2E31" w:rsidP="0009049E">
      <w:pPr>
        <w:spacing w:before="240" w:after="120"/>
        <w:rPr>
          <w:rStyle w:val="Hyperlink"/>
          <w:rFonts w:ascii="Arial" w:hAnsi="Arial" w:cs="Arial"/>
          <w:b/>
          <w:color w:val="auto"/>
        </w:rPr>
      </w:pPr>
      <w:r w:rsidRPr="0026691B">
        <w:rPr>
          <w:rFonts w:ascii="Arial" w:hAnsi="Arial" w:cs="Arial"/>
        </w:rPr>
        <w:t xml:space="preserve">BHFT female at 12.5% is under-represented on Voting Non Exec Directors so that the voting proportion is only 37.5% and across the Board female are 42.9%. The NED in-balance needs to be addressed and this article still applies. </w:t>
      </w:r>
      <w:hyperlink r:id="rId15" w:history="1">
        <w:r w:rsidRPr="0026691B">
          <w:rPr>
            <w:rStyle w:val="Hyperlink"/>
            <w:rFonts w:ascii="Arial" w:hAnsi="Arial" w:cs="Arial"/>
            <w:color w:val="auto"/>
          </w:rPr>
          <w:t>https://www.theguardian.com/world/2020/sep/09/nhs-misses-target-of-having-half-its-top-jobs-held-by-women</w:t>
        </w:r>
      </w:hyperlink>
    </w:p>
    <w:p w:rsidR="009B410B" w:rsidRPr="0026691B" w:rsidRDefault="008B2E31" w:rsidP="009B410B">
      <w:pPr>
        <w:spacing w:before="240" w:after="0"/>
        <w:rPr>
          <w:rStyle w:val="Hyperlink"/>
          <w:rFonts w:ascii="Arial" w:hAnsi="Arial" w:cs="Arial"/>
          <w:b/>
          <w:color w:val="auto"/>
        </w:rPr>
      </w:pPr>
      <w:r w:rsidRPr="0026691B">
        <w:rPr>
          <w:rStyle w:val="Hyperlink"/>
          <w:rFonts w:ascii="Arial" w:hAnsi="Arial" w:cs="Arial"/>
          <w:b/>
          <w:color w:val="auto"/>
          <w:highlight w:val="lightGray"/>
        </w:rPr>
        <w:t>SUMMARY</w:t>
      </w:r>
      <w:r w:rsidRPr="0026691B">
        <w:rPr>
          <w:rStyle w:val="Hyperlink"/>
          <w:rFonts w:ascii="Arial" w:hAnsi="Arial" w:cs="Arial"/>
          <w:b/>
          <w:color w:val="auto"/>
        </w:rPr>
        <w:t xml:space="preserve"> </w:t>
      </w:r>
    </w:p>
    <w:p w:rsidR="00807A63" w:rsidRPr="00EB0B71" w:rsidRDefault="00807A63" w:rsidP="006F4376">
      <w:pPr>
        <w:pStyle w:val="ListParagraph"/>
        <w:keepNext/>
        <w:keepLines/>
        <w:numPr>
          <w:ilvl w:val="0"/>
          <w:numId w:val="2"/>
        </w:numPr>
        <w:spacing w:before="120" w:after="120" w:line="240" w:lineRule="auto"/>
        <w:ind w:left="357"/>
        <w:outlineLvl w:val="0"/>
        <w:rPr>
          <w:rFonts w:ascii="Arial" w:eastAsiaTheme="majorEastAsia" w:hAnsi="Arial" w:cs="Arial"/>
          <w:bCs/>
          <w:color w:val="FF0000"/>
        </w:rPr>
      </w:pPr>
      <w:r w:rsidRPr="00EB0B71">
        <w:rPr>
          <w:rFonts w:ascii="Arial" w:eastAsiaTheme="majorEastAsia" w:hAnsi="Arial" w:cs="Arial"/>
          <w:b/>
          <w:bCs/>
        </w:rPr>
        <w:t xml:space="preserve">Site specific and Trust wide areas - </w:t>
      </w:r>
      <w:r w:rsidRPr="00EB0B71">
        <w:rPr>
          <w:rFonts w:ascii="Arial" w:eastAsiaTheme="majorEastAsia" w:hAnsi="Arial" w:cs="Arial"/>
          <w:bCs/>
        </w:rPr>
        <w:t>Historic GPG data for BH and LDH sites (2017 to 2021) is covered with BHFT wide data for year-end March 2021</w:t>
      </w:r>
      <w:r w:rsidR="00EB0B71" w:rsidRPr="00EB0B71">
        <w:rPr>
          <w:rFonts w:ascii="Arial" w:eastAsiaTheme="majorEastAsia" w:hAnsi="Arial" w:cs="Arial"/>
          <w:bCs/>
        </w:rPr>
        <w:t xml:space="preserve"> and 2022</w:t>
      </w:r>
      <w:r w:rsidRPr="00EB0B71">
        <w:rPr>
          <w:rFonts w:ascii="Arial" w:eastAsiaTheme="majorEastAsia" w:hAnsi="Arial" w:cs="Arial"/>
          <w:bCs/>
        </w:rPr>
        <w:t>. This</w:t>
      </w:r>
      <w:r w:rsidR="00EB0B71" w:rsidRPr="00EB0B71">
        <w:rPr>
          <w:rFonts w:ascii="Arial" w:eastAsiaTheme="majorEastAsia" w:hAnsi="Arial" w:cs="Arial"/>
          <w:bCs/>
        </w:rPr>
        <w:t xml:space="preserve"> shows generic and site specific </w:t>
      </w:r>
      <w:r w:rsidR="00EB0B71">
        <w:rPr>
          <w:rFonts w:ascii="Arial" w:eastAsiaTheme="majorEastAsia" w:hAnsi="Arial" w:cs="Arial"/>
          <w:bCs/>
        </w:rPr>
        <w:t xml:space="preserve">progress and </w:t>
      </w:r>
      <w:r w:rsidR="00EB0B71" w:rsidRPr="00EB0B71">
        <w:rPr>
          <w:rFonts w:ascii="Arial" w:eastAsiaTheme="majorEastAsia" w:hAnsi="Arial" w:cs="Arial"/>
          <w:bCs/>
        </w:rPr>
        <w:t>areas to address</w:t>
      </w:r>
      <w:r w:rsidR="00EB0B71">
        <w:rPr>
          <w:rFonts w:ascii="Arial" w:eastAsiaTheme="majorEastAsia" w:hAnsi="Arial" w:cs="Arial"/>
          <w:bCs/>
        </w:rPr>
        <w:t>, and for</w:t>
      </w:r>
      <w:r w:rsidRPr="00EB0B71">
        <w:rPr>
          <w:rFonts w:ascii="Arial" w:eastAsiaTheme="majorEastAsia" w:hAnsi="Arial" w:cs="Arial"/>
          <w:bCs/>
        </w:rPr>
        <w:t xml:space="preserve"> areas that may be lost within BHFT data. </w:t>
      </w:r>
    </w:p>
    <w:p w:rsidR="00EB0B71" w:rsidRPr="00EB0B71" w:rsidRDefault="00EB0B71" w:rsidP="00EB0B71">
      <w:pPr>
        <w:pStyle w:val="ListParagraph"/>
        <w:keepNext/>
        <w:keepLines/>
        <w:spacing w:before="120" w:after="120" w:line="240" w:lineRule="auto"/>
        <w:ind w:left="357"/>
        <w:outlineLvl w:val="0"/>
        <w:rPr>
          <w:rFonts w:ascii="Arial" w:eastAsiaTheme="majorEastAsia" w:hAnsi="Arial" w:cs="Arial"/>
          <w:bCs/>
          <w:color w:val="FF0000"/>
        </w:rPr>
      </w:pPr>
    </w:p>
    <w:p w:rsidR="009B410B" w:rsidRPr="00EB0B71" w:rsidRDefault="009B410B" w:rsidP="004135C2">
      <w:pPr>
        <w:pStyle w:val="ListParagraph"/>
        <w:keepNext/>
        <w:keepLines/>
        <w:numPr>
          <w:ilvl w:val="0"/>
          <w:numId w:val="2"/>
        </w:numPr>
        <w:spacing w:before="120" w:after="120" w:line="240" w:lineRule="auto"/>
        <w:ind w:left="357"/>
        <w:outlineLvl w:val="0"/>
        <w:rPr>
          <w:rFonts w:ascii="Arial" w:eastAsiaTheme="majorEastAsia" w:hAnsi="Arial" w:cs="Arial"/>
          <w:bCs/>
        </w:rPr>
      </w:pPr>
      <w:r w:rsidRPr="00EB0B71">
        <w:rPr>
          <w:rFonts w:ascii="Arial" w:eastAsiaTheme="majorEastAsia" w:hAnsi="Arial" w:cs="Arial"/>
          <w:b/>
          <w:bCs/>
        </w:rPr>
        <w:t xml:space="preserve">Workforce BHFT Female to Male Split - </w:t>
      </w:r>
      <w:r w:rsidRPr="00EB0B71">
        <w:rPr>
          <w:rFonts w:ascii="Arial" w:eastAsiaTheme="majorEastAsia" w:hAnsi="Arial" w:cs="Arial"/>
          <w:bCs/>
        </w:rPr>
        <w:t xml:space="preserve">at 78%: 22% is closer to the NHS average. </w:t>
      </w:r>
    </w:p>
    <w:p w:rsidR="00807A63" w:rsidRPr="00EB0B71" w:rsidRDefault="00807A63" w:rsidP="00807A63">
      <w:pPr>
        <w:pStyle w:val="ListParagraph"/>
        <w:keepNext/>
        <w:keepLines/>
        <w:spacing w:before="240" w:after="120" w:line="240" w:lineRule="auto"/>
        <w:ind w:left="357"/>
        <w:outlineLvl w:val="0"/>
        <w:rPr>
          <w:rFonts w:ascii="Arial" w:eastAsiaTheme="majorEastAsia" w:hAnsi="Arial" w:cs="Arial"/>
          <w:bCs/>
        </w:rPr>
      </w:pPr>
    </w:p>
    <w:p w:rsidR="009B410B" w:rsidRPr="00EB0B71" w:rsidRDefault="009B410B" w:rsidP="004135C2">
      <w:pPr>
        <w:pStyle w:val="ListParagraph"/>
        <w:keepNext/>
        <w:keepLines/>
        <w:numPr>
          <w:ilvl w:val="0"/>
          <w:numId w:val="2"/>
        </w:numPr>
        <w:spacing w:before="120" w:after="120" w:line="240" w:lineRule="auto"/>
        <w:ind w:left="357"/>
        <w:outlineLvl w:val="0"/>
        <w:rPr>
          <w:rFonts w:ascii="Arial" w:eastAsiaTheme="majorEastAsia" w:hAnsi="Arial" w:cs="Arial"/>
          <w:bCs/>
        </w:rPr>
      </w:pPr>
      <w:r w:rsidRPr="00EB0B71">
        <w:rPr>
          <w:rFonts w:ascii="Arial" w:hAnsi="Arial" w:cs="Arial"/>
          <w:b/>
        </w:rPr>
        <w:t xml:space="preserve">BHFT </w:t>
      </w:r>
      <w:r w:rsidR="00EB0B71" w:rsidRPr="00EB0B71">
        <w:rPr>
          <w:rFonts w:ascii="Arial" w:hAnsi="Arial" w:cs="Arial"/>
          <w:b/>
        </w:rPr>
        <w:t>2022</w:t>
      </w:r>
      <w:r w:rsidRPr="00EB0B71">
        <w:rPr>
          <w:rFonts w:ascii="Arial" w:hAnsi="Arial" w:cs="Arial"/>
          <w:b/>
        </w:rPr>
        <w:t xml:space="preserve"> Mean and Median Pay Gaps </w:t>
      </w:r>
      <w:r w:rsidR="00EB0B71" w:rsidRPr="00EB0B71">
        <w:rPr>
          <w:rFonts w:ascii="Arial" w:hAnsi="Arial" w:cs="Arial"/>
          <w:b/>
        </w:rPr>
        <w:t xml:space="preserve">at 27.2% and 18.5% are and improvement </w:t>
      </w:r>
      <w:r w:rsidR="00EB0B71" w:rsidRPr="00EB0B71">
        <w:rPr>
          <w:rFonts w:ascii="Arial" w:hAnsi="Arial" w:cs="Arial"/>
        </w:rPr>
        <w:t xml:space="preserve"> on 2021 at </w:t>
      </w:r>
      <w:r w:rsidRPr="00EB0B71">
        <w:rPr>
          <w:rFonts w:ascii="Arial" w:hAnsi="Arial" w:cs="Arial"/>
        </w:rPr>
        <w:t xml:space="preserve">28.46% Mean and 20.72% Median </w:t>
      </w:r>
    </w:p>
    <w:p w:rsidR="009B410B" w:rsidRDefault="009B410B" w:rsidP="004135C2">
      <w:pPr>
        <w:keepNext/>
        <w:keepLines/>
        <w:numPr>
          <w:ilvl w:val="0"/>
          <w:numId w:val="2"/>
        </w:numPr>
        <w:spacing w:before="120" w:after="120" w:line="240" w:lineRule="auto"/>
        <w:ind w:left="357"/>
        <w:outlineLvl w:val="0"/>
        <w:rPr>
          <w:rFonts w:ascii="Arial" w:eastAsiaTheme="majorEastAsia" w:hAnsi="Arial" w:cs="Arial"/>
          <w:bCs/>
        </w:rPr>
      </w:pPr>
      <w:r w:rsidRPr="00EB0B71">
        <w:rPr>
          <w:rFonts w:ascii="Arial" w:eastAsiaTheme="majorEastAsia" w:hAnsi="Arial" w:cs="Arial"/>
          <w:b/>
          <w:bCs/>
        </w:rPr>
        <w:t xml:space="preserve">Highest Paid Quartiles – </w:t>
      </w:r>
      <w:r w:rsidRPr="00EB0B71">
        <w:rPr>
          <w:rFonts w:ascii="Arial" w:eastAsiaTheme="majorEastAsia" w:hAnsi="Arial" w:cs="Arial"/>
          <w:bCs/>
        </w:rPr>
        <w:t xml:space="preserve">A circa 15% over representation of male in the highest paid quartile at </w:t>
      </w:r>
      <w:r w:rsidR="00B0765F">
        <w:rPr>
          <w:rFonts w:ascii="Arial" w:eastAsiaTheme="majorEastAsia" w:hAnsi="Arial" w:cs="Arial"/>
          <w:bCs/>
        </w:rPr>
        <w:t xml:space="preserve">272 </w:t>
      </w:r>
      <w:r w:rsidRPr="00EB0B71">
        <w:rPr>
          <w:rFonts w:ascii="Arial" w:eastAsiaTheme="majorEastAsia" w:hAnsi="Arial" w:cs="Arial"/>
          <w:bCs/>
        </w:rPr>
        <w:t xml:space="preserve">equates to a 15% under-representation of female </w:t>
      </w:r>
      <w:r w:rsidR="00BB216D">
        <w:rPr>
          <w:rFonts w:ascii="Arial" w:eastAsiaTheme="majorEastAsia" w:hAnsi="Arial" w:cs="Arial"/>
          <w:bCs/>
        </w:rPr>
        <w:t xml:space="preserve">at 983 (workforce proportions). </w:t>
      </w:r>
    </w:p>
    <w:p w:rsidR="0009049E" w:rsidRPr="00BB216D" w:rsidRDefault="00E77054" w:rsidP="004135C2">
      <w:pPr>
        <w:pStyle w:val="ListParagraph"/>
        <w:numPr>
          <w:ilvl w:val="0"/>
          <w:numId w:val="2"/>
        </w:numPr>
        <w:spacing w:before="240" w:after="0" w:line="240" w:lineRule="auto"/>
        <w:rPr>
          <w:rFonts w:ascii="Arial" w:hAnsi="Arial" w:cs="Arial"/>
          <w:b/>
          <w:u w:val="single"/>
        </w:rPr>
      </w:pPr>
      <w:r w:rsidRPr="00BB216D">
        <w:rPr>
          <w:rFonts w:ascii="Arial" w:eastAsiaTheme="majorEastAsia" w:hAnsi="Arial" w:cs="Arial"/>
          <w:b/>
          <w:bCs/>
        </w:rPr>
        <w:t xml:space="preserve">Impact of Highest </w:t>
      </w:r>
      <w:r w:rsidR="00807A63" w:rsidRPr="00BB216D">
        <w:rPr>
          <w:rFonts w:ascii="Arial" w:eastAsiaTheme="majorEastAsia" w:hAnsi="Arial" w:cs="Arial"/>
          <w:b/>
          <w:bCs/>
        </w:rPr>
        <w:t xml:space="preserve">Pay Quartile and </w:t>
      </w:r>
      <w:r w:rsidRPr="00BB216D">
        <w:rPr>
          <w:rFonts w:ascii="Arial" w:eastAsiaTheme="majorEastAsia" w:hAnsi="Arial" w:cs="Arial"/>
          <w:b/>
          <w:bCs/>
        </w:rPr>
        <w:t>High Level of Male</w:t>
      </w:r>
      <w:r w:rsidRPr="00BB216D">
        <w:rPr>
          <w:rFonts w:ascii="Arial" w:eastAsiaTheme="majorEastAsia" w:hAnsi="Arial" w:cs="Arial"/>
          <w:bCs/>
        </w:rPr>
        <w:t xml:space="preserve"> - </w:t>
      </w:r>
      <w:r w:rsidR="0009049E" w:rsidRPr="00BB216D">
        <w:rPr>
          <w:rFonts w:ascii="Arial" w:eastAsiaTheme="majorEastAsia" w:hAnsi="Arial" w:cs="Arial"/>
          <w:bCs/>
        </w:rPr>
        <w:t xml:space="preserve">Excluding </w:t>
      </w:r>
      <w:r w:rsidR="005B5693" w:rsidRPr="00BB216D">
        <w:rPr>
          <w:rFonts w:ascii="Arial" w:eastAsiaTheme="majorEastAsia" w:hAnsi="Arial" w:cs="Arial"/>
          <w:bCs/>
        </w:rPr>
        <w:t xml:space="preserve">data for high paid, high level male groups such as </w:t>
      </w:r>
      <w:r w:rsidR="0009049E" w:rsidRPr="00BB216D">
        <w:rPr>
          <w:rFonts w:ascii="Arial" w:eastAsiaTheme="majorEastAsia" w:hAnsi="Arial" w:cs="Arial"/>
          <w:bCs/>
        </w:rPr>
        <w:t xml:space="preserve">medical </w:t>
      </w:r>
      <w:r w:rsidR="009B410B" w:rsidRPr="00BB216D">
        <w:rPr>
          <w:rFonts w:ascii="Arial" w:eastAsiaTheme="majorEastAsia" w:hAnsi="Arial" w:cs="Arial"/>
          <w:bCs/>
        </w:rPr>
        <w:t xml:space="preserve">or </w:t>
      </w:r>
      <w:r w:rsidR="0009049E" w:rsidRPr="00BB216D">
        <w:rPr>
          <w:rFonts w:ascii="Arial" w:eastAsiaTheme="majorEastAsia" w:hAnsi="Arial" w:cs="Arial"/>
          <w:bCs/>
        </w:rPr>
        <w:t xml:space="preserve">ad-hoc </w:t>
      </w:r>
      <w:r w:rsidR="009B410B" w:rsidRPr="00BB216D">
        <w:rPr>
          <w:rFonts w:ascii="Arial" w:eastAsiaTheme="majorEastAsia" w:hAnsi="Arial" w:cs="Arial"/>
          <w:bCs/>
        </w:rPr>
        <w:t xml:space="preserve">significantly </w:t>
      </w:r>
      <w:r w:rsidR="0009049E" w:rsidRPr="00BB216D">
        <w:rPr>
          <w:rFonts w:ascii="Arial" w:eastAsiaTheme="majorEastAsia" w:hAnsi="Arial" w:cs="Arial"/>
          <w:bCs/>
        </w:rPr>
        <w:t xml:space="preserve">lowers the </w:t>
      </w:r>
      <w:r w:rsidR="009B410B" w:rsidRPr="00BB216D">
        <w:rPr>
          <w:rFonts w:ascii="Arial" w:eastAsiaTheme="majorEastAsia" w:hAnsi="Arial" w:cs="Arial"/>
          <w:bCs/>
        </w:rPr>
        <w:t>GPG</w:t>
      </w:r>
      <w:r w:rsidR="0009049E" w:rsidRPr="00BB216D">
        <w:rPr>
          <w:rFonts w:ascii="Arial" w:eastAsiaTheme="majorEastAsia" w:hAnsi="Arial" w:cs="Arial"/>
          <w:bCs/>
        </w:rPr>
        <w:t xml:space="preserve"> indicat</w:t>
      </w:r>
      <w:r w:rsidR="0087114D" w:rsidRPr="00BB216D">
        <w:rPr>
          <w:rFonts w:ascii="Arial" w:eastAsiaTheme="majorEastAsia" w:hAnsi="Arial" w:cs="Arial"/>
          <w:bCs/>
        </w:rPr>
        <w:t xml:space="preserve">ing </w:t>
      </w:r>
      <w:r w:rsidR="005B5693" w:rsidRPr="00BB216D">
        <w:rPr>
          <w:rFonts w:ascii="Arial" w:eastAsiaTheme="majorEastAsia" w:hAnsi="Arial" w:cs="Arial"/>
          <w:bCs/>
        </w:rPr>
        <w:t xml:space="preserve">how these </w:t>
      </w:r>
      <w:r w:rsidR="0009049E" w:rsidRPr="00BB216D">
        <w:rPr>
          <w:rFonts w:ascii="Arial" w:eastAsiaTheme="majorEastAsia" w:hAnsi="Arial" w:cs="Arial"/>
          <w:bCs/>
        </w:rPr>
        <w:t xml:space="preserve">groups can skew the </w:t>
      </w:r>
      <w:r w:rsidR="005B5693" w:rsidRPr="00BB216D">
        <w:rPr>
          <w:rFonts w:ascii="Arial" w:eastAsiaTheme="majorEastAsia" w:hAnsi="Arial" w:cs="Arial"/>
          <w:bCs/>
        </w:rPr>
        <w:t xml:space="preserve">whole </w:t>
      </w:r>
      <w:r w:rsidR="0009049E" w:rsidRPr="00BB216D">
        <w:rPr>
          <w:rFonts w:ascii="Arial" w:eastAsiaTheme="majorEastAsia" w:hAnsi="Arial" w:cs="Arial"/>
          <w:bCs/>
        </w:rPr>
        <w:t>result</w:t>
      </w:r>
      <w:r w:rsidR="0087114D" w:rsidRPr="00BB216D">
        <w:rPr>
          <w:rFonts w:ascii="Arial" w:eastAsiaTheme="majorEastAsia" w:hAnsi="Arial" w:cs="Arial"/>
          <w:bCs/>
        </w:rPr>
        <w:t xml:space="preserve">. A </w:t>
      </w:r>
      <w:r w:rsidR="0009049E" w:rsidRPr="00BB216D">
        <w:rPr>
          <w:rFonts w:ascii="Arial" w:eastAsiaTheme="majorEastAsia" w:hAnsi="Arial" w:cs="Arial"/>
          <w:bCs/>
        </w:rPr>
        <w:t xml:space="preserve">more detailed analysis is included in the Report. </w:t>
      </w:r>
    </w:p>
    <w:p w:rsidR="00BB216D" w:rsidRPr="00BB216D" w:rsidRDefault="00BB216D" w:rsidP="00BB216D">
      <w:pPr>
        <w:pStyle w:val="ListParagraph"/>
        <w:spacing w:before="240" w:after="0" w:line="240" w:lineRule="auto"/>
        <w:ind w:left="360"/>
        <w:rPr>
          <w:rFonts w:ascii="Arial" w:hAnsi="Arial" w:cs="Arial"/>
          <w:b/>
          <w:u w:val="single"/>
        </w:rPr>
      </w:pPr>
    </w:p>
    <w:p w:rsidR="00E35C2C" w:rsidRPr="00BB216D" w:rsidRDefault="0009049E" w:rsidP="004135C2">
      <w:pPr>
        <w:keepNext/>
        <w:keepLines/>
        <w:numPr>
          <w:ilvl w:val="0"/>
          <w:numId w:val="2"/>
        </w:numPr>
        <w:spacing w:after="120" w:line="240" w:lineRule="auto"/>
        <w:outlineLvl w:val="0"/>
        <w:rPr>
          <w:rFonts w:ascii="Arial" w:eastAsiaTheme="majorEastAsia" w:hAnsi="Arial" w:cs="Arial"/>
          <w:b/>
          <w:bCs/>
        </w:rPr>
      </w:pPr>
      <w:r w:rsidRPr="00BB216D">
        <w:rPr>
          <w:rFonts w:ascii="Arial" w:eastAsiaTheme="majorEastAsia" w:hAnsi="Arial" w:cs="Arial"/>
          <w:b/>
          <w:bCs/>
        </w:rPr>
        <w:t>Medical consultants are among the highest paid</w:t>
      </w:r>
      <w:r w:rsidR="00470964" w:rsidRPr="00BB216D">
        <w:rPr>
          <w:rFonts w:ascii="Arial" w:eastAsiaTheme="majorEastAsia" w:hAnsi="Arial" w:cs="Arial"/>
          <w:b/>
          <w:bCs/>
        </w:rPr>
        <w:t xml:space="preserve"> and only group paid bonus</w:t>
      </w:r>
      <w:r w:rsidR="00E77054" w:rsidRPr="00BB216D">
        <w:rPr>
          <w:rFonts w:ascii="Arial" w:eastAsiaTheme="majorEastAsia" w:hAnsi="Arial" w:cs="Arial"/>
          <w:b/>
          <w:bCs/>
        </w:rPr>
        <w:t xml:space="preserve"> </w:t>
      </w:r>
      <w:r w:rsidR="00470964" w:rsidRPr="00BB216D">
        <w:rPr>
          <w:rFonts w:ascii="Arial" w:eastAsiaTheme="majorEastAsia" w:hAnsi="Arial" w:cs="Arial"/>
          <w:b/>
          <w:bCs/>
        </w:rPr>
        <w:t>(</w:t>
      </w:r>
      <w:r w:rsidRPr="00BB216D">
        <w:rPr>
          <w:rFonts w:ascii="Arial" w:eastAsiaTheme="majorEastAsia" w:hAnsi="Arial" w:cs="Arial"/>
          <w:b/>
          <w:bCs/>
        </w:rPr>
        <w:t xml:space="preserve">LCEAs). </w:t>
      </w:r>
      <w:r w:rsidR="00470964" w:rsidRPr="00BB216D">
        <w:rPr>
          <w:rFonts w:ascii="Arial" w:eastAsiaTheme="majorEastAsia" w:hAnsi="Arial" w:cs="Arial"/>
          <w:bCs/>
        </w:rPr>
        <w:t>Senior lon</w:t>
      </w:r>
      <w:r w:rsidRPr="00BB216D">
        <w:rPr>
          <w:rFonts w:ascii="Arial" w:eastAsiaTheme="majorEastAsia" w:hAnsi="Arial" w:cs="Arial"/>
          <w:bCs/>
        </w:rPr>
        <w:t xml:space="preserve">g serving consultants </w:t>
      </w:r>
      <w:r w:rsidR="0087114D" w:rsidRPr="00BB216D">
        <w:rPr>
          <w:rFonts w:ascii="Arial" w:eastAsiaTheme="majorEastAsia" w:hAnsi="Arial" w:cs="Arial"/>
          <w:bCs/>
        </w:rPr>
        <w:t>are typically</w:t>
      </w:r>
      <w:r w:rsidR="0087114D" w:rsidRPr="00BB216D">
        <w:rPr>
          <w:rFonts w:ascii="Arial" w:eastAsiaTheme="majorEastAsia" w:hAnsi="Arial" w:cs="Arial"/>
          <w:b/>
          <w:bCs/>
          <w:sz w:val="28"/>
          <w:szCs w:val="28"/>
        </w:rPr>
        <w:t xml:space="preserve"> </w:t>
      </w:r>
      <w:r w:rsidR="0087114D" w:rsidRPr="00BB216D">
        <w:rPr>
          <w:rFonts w:ascii="Arial" w:eastAsiaTheme="majorEastAsia" w:hAnsi="Arial" w:cs="Arial"/>
          <w:bCs/>
        </w:rPr>
        <w:t xml:space="preserve">male </w:t>
      </w:r>
      <w:r w:rsidR="00E35C2C" w:rsidRPr="00BB216D">
        <w:rPr>
          <w:rFonts w:ascii="Arial" w:eastAsiaTheme="majorEastAsia" w:hAnsi="Arial" w:cs="Arial"/>
          <w:bCs/>
        </w:rPr>
        <w:t xml:space="preserve">with </w:t>
      </w:r>
      <w:r w:rsidRPr="00BB216D">
        <w:rPr>
          <w:rFonts w:ascii="Arial" w:eastAsiaTheme="majorEastAsia" w:hAnsi="Arial" w:cs="Arial"/>
          <w:bCs/>
        </w:rPr>
        <w:t xml:space="preserve">higher </w:t>
      </w:r>
      <w:r w:rsidR="0087114D" w:rsidRPr="00BB216D">
        <w:rPr>
          <w:rFonts w:ascii="Arial" w:eastAsiaTheme="majorEastAsia" w:hAnsi="Arial" w:cs="Arial"/>
          <w:bCs/>
        </w:rPr>
        <w:t>pay</w:t>
      </w:r>
      <w:r w:rsidR="00CA6B36" w:rsidRPr="00BB216D">
        <w:rPr>
          <w:rFonts w:ascii="Arial" w:eastAsiaTheme="majorEastAsia" w:hAnsi="Arial" w:cs="Arial"/>
          <w:bCs/>
        </w:rPr>
        <w:t xml:space="preserve"> and </w:t>
      </w:r>
      <w:r w:rsidRPr="00BB216D">
        <w:rPr>
          <w:rFonts w:ascii="Arial" w:eastAsiaTheme="majorEastAsia" w:hAnsi="Arial" w:cs="Arial"/>
          <w:bCs/>
        </w:rPr>
        <w:t xml:space="preserve">bonuses </w:t>
      </w:r>
      <w:r w:rsidR="00E35C2C" w:rsidRPr="00BB216D">
        <w:rPr>
          <w:rFonts w:ascii="Arial" w:eastAsiaTheme="majorEastAsia" w:hAnsi="Arial" w:cs="Arial"/>
          <w:bCs/>
        </w:rPr>
        <w:t xml:space="preserve">as </w:t>
      </w:r>
      <w:r w:rsidR="0087114D" w:rsidRPr="00BB216D">
        <w:rPr>
          <w:rFonts w:ascii="Arial" w:eastAsiaTheme="majorEastAsia" w:hAnsi="Arial" w:cs="Arial"/>
          <w:bCs/>
        </w:rPr>
        <w:t xml:space="preserve">these are incremental to length of service. </w:t>
      </w:r>
      <w:r w:rsidR="00E35C2C" w:rsidRPr="00BB216D">
        <w:rPr>
          <w:rFonts w:ascii="Arial" w:eastAsiaTheme="majorEastAsia" w:hAnsi="Arial" w:cs="Arial"/>
          <w:bCs/>
        </w:rPr>
        <w:t>Proportionally more males received CEAs than females</w:t>
      </w:r>
    </w:p>
    <w:p w:rsidR="0009049E" w:rsidRPr="00BB216D" w:rsidRDefault="0087114D" w:rsidP="00807A63">
      <w:pPr>
        <w:keepNext/>
        <w:keepLines/>
        <w:spacing w:after="120" w:line="240" w:lineRule="auto"/>
        <w:ind w:left="360"/>
        <w:outlineLvl w:val="0"/>
        <w:rPr>
          <w:rFonts w:ascii="Arial" w:eastAsiaTheme="majorEastAsia" w:hAnsi="Arial" w:cs="Arial"/>
          <w:b/>
          <w:bCs/>
        </w:rPr>
      </w:pPr>
      <w:r w:rsidRPr="00BB216D">
        <w:rPr>
          <w:rFonts w:ascii="Arial" w:hAnsi="Arial" w:cs="Arial"/>
        </w:rPr>
        <w:t>New c</w:t>
      </w:r>
      <w:r w:rsidR="0009049E" w:rsidRPr="00BB216D">
        <w:rPr>
          <w:rFonts w:ascii="Arial" w:hAnsi="Arial" w:cs="Arial"/>
        </w:rPr>
        <w:t xml:space="preserve">onsultants </w:t>
      </w:r>
      <w:r w:rsidRPr="00BB216D">
        <w:rPr>
          <w:rFonts w:ascii="Arial" w:hAnsi="Arial" w:cs="Arial"/>
        </w:rPr>
        <w:t xml:space="preserve">generally </w:t>
      </w:r>
      <w:r w:rsidR="0009049E" w:rsidRPr="00BB216D">
        <w:rPr>
          <w:rFonts w:ascii="Arial" w:hAnsi="Arial" w:cs="Arial"/>
        </w:rPr>
        <w:t xml:space="preserve">start at the lowest </w:t>
      </w:r>
      <w:r w:rsidR="00470964" w:rsidRPr="00BB216D">
        <w:rPr>
          <w:rFonts w:ascii="Arial" w:hAnsi="Arial" w:cs="Arial"/>
        </w:rPr>
        <w:t xml:space="preserve">salary and </w:t>
      </w:r>
      <w:r w:rsidR="0009049E" w:rsidRPr="00BB216D">
        <w:rPr>
          <w:rFonts w:ascii="Arial" w:hAnsi="Arial" w:cs="Arial"/>
        </w:rPr>
        <w:t xml:space="preserve">level of bonus paid. Females are increasing but enter at starter level </w:t>
      </w:r>
      <w:r w:rsidR="00470964" w:rsidRPr="00BB216D">
        <w:rPr>
          <w:rFonts w:ascii="Arial" w:hAnsi="Arial" w:cs="Arial"/>
        </w:rPr>
        <w:t>with</w:t>
      </w:r>
      <w:r w:rsidRPr="00BB216D">
        <w:rPr>
          <w:rFonts w:ascii="Arial" w:hAnsi="Arial" w:cs="Arial"/>
        </w:rPr>
        <w:t xml:space="preserve"> lower </w:t>
      </w:r>
      <w:r w:rsidR="0009049E" w:rsidRPr="00BB216D">
        <w:rPr>
          <w:rFonts w:ascii="Arial" w:hAnsi="Arial" w:cs="Arial"/>
        </w:rPr>
        <w:t>levels</w:t>
      </w:r>
      <w:r w:rsidRPr="00BB216D">
        <w:rPr>
          <w:rFonts w:ascii="Arial" w:hAnsi="Arial" w:cs="Arial"/>
        </w:rPr>
        <w:t xml:space="preserve"> of remuneration</w:t>
      </w:r>
      <w:r w:rsidR="00470964" w:rsidRPr="00BB216D">
        <w:rPr>
          <w:rFonts w:ascii="Arial" w:hAnsi="Arial" w:cs="Arial"/>
        </w:rPr>
        <w:t>/</w:t>
      </w:r>
      <w:r w:rsidRPr="00BB216D">
        <w:rPr>
          <w:rFonts w:ascii="Arial" w:hAnsi="Arial" w:cs="Arial"/>
        </w:rPr>
        <w:t xml:space="preserve"> bonus paid. </w:t>
      </w:r>
    </w:p>
    <w:p w:rsidR="0009049E" w:rsidRPr="00BB216D" w:rsidRDefault="00E35C2C" w:rsidP="0009049E">
      <w:pPr>
        <w:rPr>
          <w:rFonts w:ascii="Arial" w:hAnsi="Arial" w:cs="Arial"/>
          <w:b/>
          <w:i/>
        </w:rPr>
      </w:pPr>
      <w:r w:rsidRPr="00BB216D">
        <w:rPr>
          <w:rFonts w:ascii="Arial" w:hAnsi="Arial" w:cs="Arial"/>
          <w:b/>
          <w:i/>
        </w:rPr>
        <w:t>Se</w:t>
      </w:r>
      <w:r w:rsidR="0009049E" w:rsidRPr="00BB216D">
        <w:rPr>
          <w:rFonts w:ascii="Arial" w:hAnsi="Arial" w:cs="Arial"/>
          <w:b/>
          <w:i/>
        </w:rPr>
        <w:t xml:space="preserve">veral areas that the Trust will </w:t>
      </w:r>
      <w:r w:rsidRPr="00BB216D">
        <w:rPr>
          <w:rFonts w:ascii="Arial" w:hAnsi="Arial" w:cs="Arial"/>
          <w:b/>
          <w:i/>
        </w:rPr>
        <w:t xml:space="preserve">continue </w:t>
      </w:r>
      <w:r w:rsidR="0009049E" w:rsidRPr="00BB216D">
        <w:rPr>
          <w:rFonts w:ascii="Arial" w:hAnsi="Arial" w:cs="Arial"/>
          <w:b/>
          <w:i/>
        </w:rPr>
        <w:t>researching for the next G</w:t>
      </w:r>
      <w:r w:rsidRPr="00BB216D">
        <w:rPr>
          <w:rFonts w:ascii="Arial" w:hAnsi="Arial" w:cs="Arial"/>
          <w:b/>
          <w:i/>
        </w:rPr>
        <w:t>PG</w:t>
      </w:r>
      <w:r w:rsidR="0009049E" w:rsidRPr="00BB216D">
        <w:rPr>
          <w:rFonts w:ascii="Arial" w:hAnsi="Arial" w:cs="Arial"/>
          <w:b/>
          <w:i/>
        </w:rPr>
        <w:t xml:space="preserve"> Report</w:t>
      </w:r>
      <w:r w:rsidRPr="00BB216D">
        <w:rPr>
          <w:rFonts w:ascii="Arial" w:hAnsi="Arial" w:cs="Arial"/>
          <w:b/>
          <w:i/>
        </w:rPr>
        <w:t xml:space="preserve">, includes: </w:t>
      </w:r>
    </w:p>
    <w:p w:rsidR="0009049E" w:rsidRPr="00BB216D" w:rsidRDefault="00E35C2C" w:rsidP="004135C2">
      <w:pPr>
        <w:numPr>
          <w:ilvl w:val="0"/>
          <w:numId w:val="2"/>
        </w:numPr>
        <w:spacing w:after="0"/>
        <w:contextualSpacing/>
        <w:rPr>
          <w:rFonts w:ascii="Arial" w:hAnsi="Arial" w:cs="Arial"/>
          <w:i/>
        </w:rPr>
      </w:pPr>
      <w:r w:rsidRPr="00BB216D">
        <w:rPr>
          <w:rFonts w:ascii="Arial" w:hAnsi="Arial" w:cs="Arial"/>
          <w:i/>
        </w:rPr>
        <w:t xml:space="preserve">The </w:t>
      </w:r>
      <w:r w:rsidR="0009049E" w:rsidRPr="00BB216D">
        <w:rPr>
          <w:rFonts w:ascii="Arial" w:hAnsi="Arial" w:cs="Arial"/>
          <w:i/>
        </w:rPr>
        <w:t xml:space="preserve">new BMA / NHSE Employers approach to arranging and awarding LCEA </w:t>
      </w:r>
      <w:r w:rsidRPr="00BB216D">
        <w:rPr>
          <w:rFonts w:ascii="Arial" w:hAnsi="Arial" w:cs="Arial"/>
          <w:i/>
        </w:rPr>
        <w:t xml:space="preserve">and NCEA </w:t>
      </w:r>
      <w:r w:rsidR="00BB216D">
        <w:rPr>
          <w:rFonts w:ascii="Arial" w:hAnsi="Arial" w:cs="Arial"/>
          <w:i/>
        </w:rPr>
        <w:t>one in situation.</w:t>
      </w:r>
    </w:p>
    <w:p w:rsidR="00E35C2C" w:rsidRPr="00BB216D" w:rsidRDefault="0009049E" w:rsidP="004135C2">
      <w:pPr>
        <w:numPr>
          <w:ilvl w:val="0"/>
          <w:numId w:val="2"/>
        </w:numPr>
        <w:spacing w:after="0"/>
        <w:contextualSpacing/>
        <w:rPr>
          <w:rFonts w:ascii="Arial" w:hAnsi="Arial" w:cs="Arial"/>
          <w:i/>
        </w:rPr>
      </w:pPr>
      <w:r w:rsidRPr="00BB216D">
        <w:rPr>
          <w:rFonts w:ascii="Arial" w:hAnsi="Arial" w:cs="Arial"/>
          <w:i/>
        </w:rPr>
        <w:t>How many apply and do not apply for CEAS and who is succ</w:t>
      </w:r>
      <w:r w:rsidR="00E35C2C" w:rsidRPr="00BB216D">
        <w:rPr>
          <w:rFonts w:ascii="Arial" w:hAnsi="Arial" w:cs="Arial"/>
          <w:i/>
        </w:rPr>
        <w:t>essful and who is not and why.</w:t>
      </w:r>
    </w:p>
    <w:p w:rsidR="0009049E" w:rsidRDefault="0009049E" w:rsidP="006F4376">
      <w:pPr>
        <w:numPr>
          <w:ilvl w:val="0"/>
          <w:numId w:val="2"/>
        </w:numPr>
        <w:spacing w:after="0"/>
        <w:contextualSpacing/>
        <w:rPr>
          <w:rFonts w:ascii="Arial" w:hAnsi="Arial" w:cs="Arial"/>
          <w:i/>
        </w:rPr>
      </w:pPr>
      <w:r w:rsidRPr="00BB216D">
        <w:rPr>
          <w:rFonts w:ascii="Arial" w:hAnsi="Arial" w:cs="Arial"/>
          <w:i/>
        </w:rPr>
        <w:t>The potential effect of length of service and age</w:t>
      </w:r>
      <w:r w:rsidR="00BB216D" w:rsidRPr="00BB216D">
        <w:rPr>
          <w:rFonts w:ascii="Arial" w:hAnsi="Arial" w:cs="Arial"/>
          <w:i/>
        </w:rPr>
        <w:t xml:space="preserve"> and of </w:t>
      </w:r>
      <w:r w:rsidRPr="00BB216D">
        <w:rPr>
          <w:rFonts w:ascii="Arial" w:hAnsi="Arial" w:cs="Arial"/>
          <w:i/>
        </w:rPr>
        <w:t>part-time / full time working on the gender pay gap and bonus results.</w:t>
      </w:r>
    </w:p>
    <w:p w:rsidR="0009049E" w:rsidRPr="00BB216D" w:rsidRDefault="0009049E" w:rsidP="004135C2">
      <w:pPr>
        <w:numPr>
          <w:ilvl w:val="0"/>
          <w:numId w:val="2"/>
        </w:numPr>
        <w:spacing w:before="6" w:after="0"/>
        <w:contextualSpacing/>
        <w:rPr>
          <w:rFonts w:ascii="Arial" w:hAnsi="Arial" w:cs="Arial"/>
          <w:i/>
        </w:rPr>
      </w:pPr>
      <w:r w:rsidRPr="00BB216D">
        <w:rPr>
          <w:rFonts w:ascii="Arial" w:hAnsi="Arial" w:cs="Arial"/>
          <w:i/>
        </w:rPr>
        <w:t xml:space="preserve">To monitor and review the gender balance across the medical and non- medical workforce. Initially, the proportion of females to males in the Junior Doctor roles and throughout the career path to support a shift in female representation at consultant level over time. Attrition of females may occur as career develops which may indicate </w:t>
      </w:r>
      <w:r w:rsidR="00E35C2C" w:rsidRPr="00BB216D">
        <w:rPr>
          <w:rFonts w:ascii="Arial" w:hAnsi="Arial" w:cs="Arial"/>
          <w:i/>
        </w:rPr>
        <w:t xml:space="preserve">further </w:t>
      </w:r>
      <w:r w:rsidRPr="00BB216D">
        <w:rPr>
          <w:rFonts w:ascii="Arial" w:hAnsi="Arial" w:cs="Arial"/>
          <w:i/>
        </w:rPr>
        <w:t xml:space="preserve">support needed. E.g. in family friendly policies, or career paths for female doctors.  </w:t>
      </w:r>
    </w:p>
    <w:p w:rsidR="0009049E" w:rsidRPr="001108D9" w:rsidRDefault="0009049E" w:rsidP="0009049E">
      <w:pPr>
        <w:spacing w:before="6" w:after="0"/>
        <w:ind w:left="360"/>
        <w:contextualSpacing/>
        <w:rPr>
          <w:rFonts w:ascii="Arial" w:hAnsi="Arial" w:cs="Arial"/>
          <w:color w:val="FF0000"/>
        </w:rPr>
      </w:pPr>
    </w:p>
    <w:p w:rsidR="0009049E" w:rsidRPr="00BB216D" w:rsidRDefault="00CA6B36" w:rsidP="0009049E">
      <w:pPr>
        <w:keepNext/>
        <w:keepLines/>
        <w:spacing w:after="120"/>
        <w:outlineLvl w:val="0"/>
        <w:rPr>
          <w:rFonts w:ascii="Arial" w:eastAsiaTheme="majorEastAsia" w:hAnsi="Arial" w:cs="Arial"/>
          <w:b/>
          <w:bCs/>
          <w:sz w:val="28"/>
          <w:szCs w:val="28"/>
        </w:rPr>
      </w:pPr>
      <w:r w:rsidRPr="00BB216D">
        <w:rPr>
          <w:rFonts w:ascii="Arial" w:eastAsiaTheme="majorEastAsia" w:hAnsi="Arial" w:cs="Arial"/>
          <w:b/>
          <w:bCs/>
          <w:sz w:val="28"/>
          <w:szCs w:val="28"/>
        </w:rPr>
        <w:t>M</w:t>
      </w:r>
      <w:r w:rsidR="0009049E" w:rsidRPr="00BB216D">
        <w:rPr>
          <w:rFonts w:ascii="Arial" w:eastAsiaTheme="majorEastAsia" w:hAnsi="Arial" w:cs="Arial"/>
          <w:b/>
          <w:bCs/>
          <w:sz w:val="28"/>
          <w:szCs w:val="28"/>
        </w:rPr>
        <w:t xml:space="preserve">easures we </w:t>
      </w:r>
      <w:r w:rsidR="00E35C2C" w:rsidRPr="00BB216D">
        <w:rPr>
          <w:rFonts w:ascii="Arial" w:eastAsiaTheme="majorEastAsia" w:hAnsi="Arial" w:cs="Arial"/>
          <w:b/>
          <w:bCs/>
          <w:sz w:val="28"/>
          <w:szCs w:val="28"/>
        </w:rPr>
        <w:t xml:space="preserve">take and </w:t>
      </w:r>
      <w:r w:rsidR="0009049E" w:rsidRPr="00BB216D">
        <w:rPr>
          <w:rFonts w:ascii="Arial" w:eastAsiaTheme="majorEastAsia" w:hAnsi="Arial" w:cs="Arial"/>
          <w:b/>
          <w:bCs/>
          <w:sz w:val="28"/>
          <w:szCs w:val="28"/>
        </w:rPr>
        <w:t>consider for reducing G</w:t>
      </w:r>
      <w:r w:rsidR="00E35C2C" w:rsidRPr="00BB216D">
        <w:rPr>
          <w:rFonts w:ascii="Arial" w:eastAsiaTheme="majorEastAsia" w:hAnsi="Arial" w:cs="Arial"/>
          <w:b/>
          <w:bCs/>
          <w:sz w:val="28"/>
          <w:szCs w:val="28"/>
        </w:rPr>
        <w:t>ender Pay G</w:t>
      </w:r>
      <w:r w:rsidR="0009049E" w:rsidRPr="00BB216D">
        <w:rPr>
          <w:rFonts w:ascii="Arial" w:eastAsiaTheme="majorEastAsia" w:hAnsi="Arial" w:cs="Arial"/>
          <w:b/>
          <w:bCs/>
          <w:sz w:val="28"/>
          <w:szCs w:val="28"/>
        </w:rPr>
        <w:t xml:space="preserve">ap </w:t>
      </w:r>
    </w:p>
    <w:p w:rsidR="0009049E" w:rsidRPr="00BB216D" w:rsidRDefault="0009049E" w:rsidP="0009049E">
      <w:pPr>
        <w:rPr>
          <w:rFonts w:ascii="Arial" w:hAnsi="Arial" w:cs="Arial"/>
        </w:rPr>
      </w:pPr>
      <w:r w:rsidRPr="00BB216D">
        <w:rPr>
          <w:rFonts w:ascii="Arial" w:hAnsi="Arial" w:cs="Arial"/>
        </w:rPr>
        <w:t xml:space="preserve">The Trust will continue to review annually the gender split across all bands and staff groups including the Board and look to see if there are barriers to female career progression. We </w:t>
      </w:r>
      <w:r w:rsidR="00E35C2C" w:rsidRPr="00BB216D">
        <w:rPr>
          <w:rFonts w:ascii="Arial" w:hAnsi="Arial" w:cs="Arial"/>
        </w:rPr>
        <w:t xml:space="preserve">have also undertaken / </w:t>
      </w:r>
      <w:r w:rsidRPr="00BB216D">
        <w:rPr>
          <w:rFonts w:ascii="Arial" w:hAnsi="Arial" w:cs="Arial"/>
        </w:rPr>
        <w:t xml:space="preserve">will consider the following:   </w:t>
      </w:r>
    </w:p>
    <w:p w:rsidR="00807A63" w:rsidRPr="00BB216D" w:rsidRDefault="00807A63" w:rsidP="004135C2">
      <w:pPr>
        <w:numPr>
          <w:ilvl w:val="1"/>
          <w:numId w:val="7"/>
        </w:numPr>
        <w:spacing w:after="0" w:line="240" w:lineRule="auto"/>
        <w:ind w:hanging="357"/>
        <w:rPr>
          <w:rFonts w:ascii="Arial" w:hAnsi="Arial" w:cs="Arial"/>
          <w:sz w:val="16"/>
          <w:szCs w:val="16"/>
        </w:rPr>
      </w:pPr>
      <w:r w:rsidRPr="00BB216D">
        <w:rPr>
          <w:rFonts w:ascii="Arial" w:hAnsi="Arial" w:cs="Arial"/>
          <w:b/>
        </w:rPr>
        <w:t xml:space="preserve">BHFT Approach to revised LCEA </w:t>
      </w:r>
      <w:r w:rsidRPr="00BB216D">
        <w:rPr>
          <w:rFonts w:ascii="Arial" w:hAnsi="Arial" w:cs="Arial"/>
        </w:rPr>
        <w:t xml:space="preserve">and new </w:t>
      </w:r>
      <w:r w:rsidRPr="00BB216D">
        <w:rPr>
          <w:rFonts w:ascii="Arial" w:hAnsi="Arial" w:cs="Arial"/>
          <w:b/>
          <w:spacing w:val="3"/>
        </w:rPr>
        <w:t>N</w:t>
      </w:r>
      <w:r w:rsidRPr="00BB216D">
        <w:rPr>
          <w:rFonts w:ascii="Arial" w:hAnsi="Arial" w:cs="Arial"/>
          <w:b/>
          <w:spacing w:val="3"/>
          <w:bdr w:val="none" w:sz="0" w:space="0" w:color="auto" w:frame="1"/>
        </w:rPr>
        <w:t>ation</w:t>
      </w:r>
      <w:r w:rsidR="00BB216D">
        <w:rPr>
          <w:rFonts w:ascii="Arial" w:hAnsi="Arial" w:cs="Arial"/>
          <w:b/>
          <w:spacing w:val="3"/>
          <w:bdr w:val="none" w:sz="0" w:space="0" w:color="auto" w:frame="1"/>
        </w:rPr>
        <w:t>al Clinical Impact Awards NCIAs.</w:t>
      </w:r>
      <w:r w:rsidRPr="00BB216D">
        <w:rPr>
          <w:rFonts w:ascii="Arial" w:hAnsi="Arial" w:cs="Arial"/>
          <w:b/>
          <w:spacing w:val="3"/>
        </w:rPr>
        <w:t xml:space="preserve"> </w:t>
      </w:r>
      <w:r w:rsidR="00BB216D">
        <w:rPr>
          <w:rFonts w:ascii="Arial" w:hAnsi="Arial" w:cs="Arial"/>
          <w:spacing w:val="3"/>
        </w:rPr>
        <w:t xml:space="preserve">BHFT </w:t>
      </w:r>
      <w:r w:rsidRPr="00BB216D">
        <w:rPr>
          <w:rFonts w:ascii="Arial" w:hAnsi="Arial" w:cs="Arial"/>
        </w:rPr>
        <w:t>Medical Workforce / HR teams now have a Trust wide approach. Once the new national guidance and process for the revised LCEA and new NCIA’s is available, BHFT will establish policy, practice and outcomes to address this with</w:t>
      </w:r>
      <w:r w:rsidRPr="00BB216D">
        <w:rPr>
          <w:rFonts w:ascii="Arial" w:hAnsi="Arial" w:cs="Arial"/>
          <w:i/>
        </w:rPr>
        <w:t xml:space="preserve"> </w:t>
      </w:r>
      <w:r w:rsidRPr="00BB216D">
        <w:rPr>
          <w:rFonts w:ascii="Arial" w:hAnsi="Arial" w:cs="Arial"/>
        </w:rPr>
        <w:t xml:space="preserve">broader data being captured.  </w:t>
      </w:r>
    </w:p>
    <w:p w:rsidR="00807A63" w:rsidRPr="00BB216D" w:rsidRDefault="00807A63" w:rsidP="004135C2">
      <w:pPr>
        <w:numPr>
          <w:ilvl w:val="1"/>
          <w:numId w:val="7"/>
        </w:numPr>
        <w:spacing w:before="240" w:after="100" w:afterAutospacing="1" w:line="240" w:lineRule="auto"/>
        <w:rPr>
          <w:rFonts w:ascii="Arial" w:hAnsi="Arial" w:cs="Arial"/>
        </w:rPr>
      </w:pPr>
      <w:r w:rsidRPr="00BB216D">
        <w:rPr>
          <w:rFonts w:ascii="Arial" w:hAnsi="Arial" w:cs="Arial"/>
          <w:b/>
        </w:rPr>
        <w:t xml:space="preserve">Workforce Committee - </w:t>
      </w:r>
      <w:r w:rsidRPr="00BB216D">
        <w:rPr>
          <w:rFonts w:ascii="Arial" w:hAnsi="Arial" w:cs="Arial"/>
        </w:rPr>
        <w:t xml:space="preserve">This is on the committee agenda for delegation, progress updates, actions or measures for improving male / female representation e.g. by organisational and quartile proportions. Including attracting more male to careers within the Trust at quartiles 1-3. This includes continuing to: </w:t>
      </w:r>
    </w:p>
    <w:p w:rsidR="00807A63" w:rsidRPr="00BB216D" w:rsidRDefault="00807A63" w:rsidP="004135C2">
      <w:pPr>
        <w:pStyle w:val="ListParagraph"/>
        <w:numPr>
          <w:ilvl w:val="0"/>
          <w:numId w:val="9"/>
        </w:numPr>
        <w:spacing w:before="240" w:line="240" w:lineRule="auto"/>
        <w:rPr>
          <w:rFonts w:ascii="Arial" w:hAnsi="Arial" w:cs="Arial"/>
        </w:rPr>
      </w:pPr>
      <w:r w:rsidRPr="00BB216D">
        <w:rPr>
          <w:rFonts w:ascii="Arial" w:hAnsi="Arial" w:cs="Arial"/>
        </w:rPr>
        <w:t xml:space="preserve">Review our leadership programmes and talent management initiatives to see if these are attractive to women and support them to progress. </w:t>
      </w:r>
    </w:p>
    <w:p w:rsidR="00807A63" w:rsidRPr="00BB216D" w:rsidRDefault="00807A63" w:rsidP="004135C2">
      <w:pPr>
        <w:pStyle w:val="ListParagraph"/>
        <w:numPr>
          <w:ilvl w:val="0"/>
          <w:numId w:val="9"/>
        </w:numPr>
        <w:spacing w:line="240" w:lineRule="auto"/>
        <w:rPr>
          <w:rFonts w:ascii="Arial" w:hAnsi="Arial" w:cs="Arial"/>
        </w:rPr>
      </w:pPr>
      <w:r w:rsidRPr="00BB216D">
        <w:rPr>
          <w:rFonts w:ascii="Arial" w:hAnsi="Arial" w:cs="Arial"/>
        </w:rPr>
        <w:t xml:space="preserve">Take account of gender in the providing of leadership opportunities e.g. NHS Insight Improvement Programme, Shadow Board Programme, coaching, mentoring or opportunity for secondments or to lead important projects. </w:t>
      </w:r>
    </w:p>
    <w:p w:rsidR="00807A63" w:rsidRPr="00BB216D" w:rsidRDefault="00807A63" w:rsidP="004135C2">
      <w:pPr>
        <w:pStyle w:val="ListParagraph"/>
        <w:numPr>
          <w:ilvl w:val="0"/>
          <w:numId w:val="9"/>
        </w:numPr>
        <w:spacing w:before="240" w:line="240" w:lineRule="auto"/>
        <w:rPr>
          <w:rFonts w:ascii="Arial" w:hAnsi="Arial" w:cs="Arial"/>
        </w:rPr>
      </w:pPr>
      <w:r w:rsidRPr="00BB216D">
        <w:rPr>
          <w:rFonts w:ascii="Arial" w:hAnsi="Arial" w:cs="Arial"/>
        </w:rPr>
        <w:t>Explore how we can attract more men into the profession at lower bands and within Nursing and Midwifery to get a better gender balance and equalities.</w:t>
      </w:r>
    </w:p>
    <w:p w:rsidR="00807A63" w:rsidRPr="00BB216D" w:rsidRDefault="00807A63" w:rsidP="004135C2">
      <w:pPr>
        <w:numPr>
          <w:ilvl w:val="1"/>
          <w:numId w:val="7"/>
        </w:numPr>
        <w:spacing w:before="240" w:after="0" w:line="240" w:lineRule="auto"/>
        <w:rPr>
          <w:rFonts w:ascii="Arial" w:hAnsi="Arial" w:cs="Arial"/>
          <w:b/>
        </w:rPr>
      </w:pPr>
      <w:r w:rsidRPr="00BB216D">
        <w:rPr>
          <w:rFonts w:ascii="Arial" w:hAnsi="Arial" w:cs="Arial"/>
          <w:b/>
        </w:rPr>
        <w:t xml:space="preserve">The Teams and Committee at (1) (2) to review for workforce strategy / People Plan:  </w:t>
      </w:r>
    </w:p>
    <w:p w:rsidR="00807A63" w:rsidRPr="00BB216D" w:rsidRDefault="00807A63" w:rsidP="004135C2">
      <w:pPr>
        <w:numPr>
          <w:ilvl w:val="0"/>
          <w:numId w:val="8"/>
        </w:numPr>
        <w:spacing w:before="240" w:after="0" w:line="240" w:lineRule="auto"/>
        <w:rPr>
          <w:rFonts w:ascii="Arial" w:hAnsi="Arial" w:cs="Arial"/>
        </w:rPr>
      </w:pPr>
      <w:r w:rsidRPr="00BB216D">
        <w:rPr>
          <w:rFonts w:ascii="Arial" w:hAnsi="Arial" w:cs="Arial"/>
          <w:b/>
          <w:bCs/>
        </w:rPr>
        <w:t>Government Equalities Office GEO Evidenced Based Actions for Employers -</w:t>
      </w:r>
      <w:r w:rsidRPr="00BB216D">
        <w:rPr>
          <w:rFonts w:ascii="Arial" w:hAnsi="Arial" w:cs="Arial"/>
        </w:rPr>
        <w:t xml:space="preserve"> offers positive actions to consider in addressing concerns for BME senior representation / career progression.  </w:t>
      </w:r>
      <w:hyperlink r:id="rId16" w:history="1">
        <w:r w:rsidRPr="00BB216D">
          <w:rPr>
            <w:rStyle w:val="Hyperlink"/>
            <w:rFonts w:ascii="Arial" w:hAnsi="Arial" w:cs="Arial"/>
            <w:color w:val="auto"/>
          </w:rPr>
          <w:t>https://gender-pay-gap.service.gov.uk/public/assets/pdf/Evidence-based_actions_for_employers.pdf</w:t>
        </w:r>
      </w:hyperlink>
      <w:r w:rsidRPr="00BB216D">
        <w:rPr>
          <w:rFonts w:ascii="Arial" w:hAnsi="Arial" w:cs="Arial"/>
        </w:rPr>
        <w:t xml:space="preserve"> </w:t>
      </w:r>
    </w:p>
    <w:p w:rsidR="00807A63" w:rsidRPr="00BB216D" w:rsidRDefault="00807A63" w:rsidP="004135C2">
      <w:pPr>
        <w:pStyle w:val="NormalWeb"/>
        <w:numPr>
          <w:ilvl w:val="0"/>
          <w:numId w:val="8"/>
        </w:numPr>
        <w:spacing w:before="0" w:beforeAutospacing="0" w:after="0"/>
        <w:textAlignment w:val="baseline"/>
        <w:rPr>
          <w:rFonts w:ascii="Arial" w:hAnsi="Arial" w:cs="Arial"/>
          <w:sz w:val="22"/>
          <w:szCs w:val="22"/>
        </w:rPr>
      </w:pPr>
      <w:r w:rsidRPr="00BB216D">
        <w:rPr>
          <w:rFonts w:ascii="Arial" w:hAnsi="Arial" w:cs="Arial"/>
          <w:b/>
          <w:sz w:val="22"/>
          <w:szCs w:val="22"/>
        </w:rPr>
        <w:t>New EHRC Strategy</w:t>
      </w:r>
      <w:r w:rsidRPr="00BB216D">
        <w:rPr>
          <w:rFonts w:ascii="Arial" w:hAnsi="Arial" w:cs="Arial"/>
          <w:sz w:val="22"/>
          <w:szCs w:val="22"/>
        </w:rPr>
        <w:t xml:space="preserve"> – This </w:t>
      </w:r>
      <w:hyperlink r:id="rId17" w:tgtFrame="_blank" w:history="1">
        <w:r w:rsidRPr="00BB216D">
          <w:rPr>
            <w:rStyle w:val="Hyperlink"/>
            <w:rFonts w:ascii="Arial" w:eastAsiaTheme="majorEastAsia" w:hAnsi="Arial" w:cs="Arial"/>
            <w:color w:val="auto"/>
            <w:sz w:val="22"/>
            <w:szCs w:val="22"/>
            <w:bdr w:val="none" w:sz="0" w:space="0" w:color="auto" w:frame="1"/>
          </w:rPr>
          <w:t>website </w:t>
        </w:r>
      </w:hyperlink>
      <w:r w:rsidRPr="00BB216D">
        <w:rPr>
          <w:rFonts w:ascii="Arial" w:hAnsi="Arial" w:cs="Arial"/>
          <w:sz w:val="22"/>
          <w:szCs w:val="22"/>
        </w:rPr>
        <w:t xml:space="preserve"> link outlines EHRC strategy in 2021 for closing the pay gap. Its main recommendations should be considered.</w:t>
      </w:r>
    </w:p>
    <w:p w:rsidR="00807A63" w:rsidRPr="00BB216D" w:rsidRDefault="00807A63" w:rsidP="004135C2">
      <w:pPr>
        <w:pStyle w:val="NormalWeb"/>
        <w:numPr>
          <w:ilvl w:val="0"/>
          <w:numId w:val="8"/>
        </w:numPr>
        <w:spacing w:before="0" w:beforeAutospacing="0" w:after="0"/>
        <w:textAlignment w:val="baseline"/>
        <w:rPr>
          <w:rFonts w:ascii="Arial" w:hAnsi="Arial" w:cs="Arial"/>
          <w:sz w:val="22"/>
          <w:szCs w:val="22"/>
        </w:rPr>
      </w:pPr>
      <w:r w:rsidRPr="00BB216D">
        <w:rPr>
          <w:rFonts w:ascii="Arial" w:hAnsi="Arial" w:cs="Arial"/>
          <w:b/>
          <w:sz w:val="22"/>
          <w:szCs w:val="22"/>
        </w:rPr>
        <w:t xml:space="preserve">Fawcett Society recommendations </w:t>
      </w:r>
    </w:p>
    <w:p w:rsidR="00807A63" w:rsidRPr="00BB216D" w:rsidRDefault="00807A63" w:rsidP="004135C2">
      <w:pPr>
        <w:pStyle w:val="NormalWeb"/>
        <w:numPr>
          <w:ilvl w:val="0"/>
          <w:numId w:val="8"/>
        </w:numPr>
        <w:spacing w:before="0" w:beforeAutospacing="0" w:after="0"/>
        <w:textAlignment w:val="baseline"/>
        <w:rPr>
          <w:rFonts w:ascii="Arial" w:hAnsi="Arial" w:cs="Arial"/>
          <w:sz w:val="22"/>
          <w:szCs w:val="22"/>
        </w:rPr>
      </w:pPr>
      <w:r w:rsidRPr="00BB216D">
        <w:rPr>
          <w:rFonts w:ascii="Arial" w:hAnsi="Arial" w:cs="Arial"/>
          <w:b/>
          <w:sz w:val="22"/>
          <w:szCs w:val="22"/>
        </w:rPr>
        <w:t>As part of reporting for Y/E March 202</w:t>
      </w:r>
      <w:r w:rsidR="00BB216D">
        <w:rPr>
          <w:rFonts w:ascii="Arial" w:hAnsi="Arial" w:cs="Arial"/>
          <w:b/>
          <w:sz w:val="22"/>
          <w:szCs w:val="22"/>
        </w:rPr>
        <w:t>3</w:t>
      </w:r>
      <w:r w:rsidRPr="00BB216D">
        <w:rPr>
          <w:rFonts w:ascii="Arial" w:hAnsi="Arial" w:cs="Arial"/>
          <w:b/>
          <w:sz w:val="22"/>
          <w:szCs w:val="22"/>
        </w:rPr>
        <w:t xml:space="preserve"> – A broader look at Full time /Part time staff by gender; </w:t>
      </w:r>
      <w:r w:rsidRPr="00BB216D">
        <w:rPr>
          <w:rFonts w:ascii="Arial" w:hAnsi="Arial" w:cs="Arial"/>
          <w:sz w:val="22"/>
          <w:szCs w:val="22"/>
        </w:rPr>
        <w:t xml:space="preserve">at BHFT by site and grade, division and quartile (not bank etc.). </w:t>
      </w:r>
      <w:r w:rsidRPr="00BB216D">
        <w:rPr>
          <w:rFonts w:ascii="Arial" w:hAnsi="Arial" w:cs="Arial"/>
          <w:b/>
          <w:sz w:val="22"/>
          <w:szCs w:val="22"/>
        </w:rPr>
        <w:t>Review of actions</w:t>
      </w:r>
      <w:r w:rsidRPr="00BB216D">
        <w:rPr>
          <w:rFonts w:ascii="Arial" w:hAnsi="Arial" w:cs="Arial"/>
          <w:sz w:val="22"/>
          <w:szCs w:val="22"/>
        </w:rPr>
        <w:t xml:space="preserve"> following fuller analysis of data for Y/E 2021 for BHFT including the Gender Bonus Pay Gap Mean and Median in the report for Y/E March 2022. </w:t>
      </w:r>
    </w:p>
    <w:sectPr w:rsidR="00807A63" w:rsidRPr="00BB216D" w:rsidSect="00B24F5D">
      <w:headerReference w:type="even" r:id="rId18"/>
      <w:headerReference w:type="default" r:id="rId19"/>
      <w:footerReference w:type="default" r:id="rId20"/>
      <w:headerReference w:type="first" r:id="rId21"/>
      <w:pgSz w:w="11906" w:h="16838"/>
      <w:pgMar w:top="1418" w:right="127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376" w:rsidRDefault="006F4376" w:rsidP="00AE45B1">
      <w:pPr>
        <w:spacing w:after="0" w:line="240" w:lineRule="auto"/>
      </w:pPr>
      <w:r>
        <w:separator/>
      </w:r>
    </w:p>
  </w:endnote>
  <w:endnote w:type="continuationSeparator" w:id="0">
    <w:p w:rsidR="006F4376" w:rsidRDefault="006F4376" w:rsidP="00AE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195573"/>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rsidR="006F4376" w:rsidRPr="00A808AC" w:rsidRDefault="006F4376">
            <w:pPr>
              <w:pStyle w:val="Footer"/>
              <w:jc w:val="right"/>
              <w:rPr>
                <w:sz w:val="16"/>
                <w:szCs w:val="16"/>
              </w:rPr>
            </w:pPr>
            <w:r w:rsidRPr="00A808AC">
              <w:rPr>
                <w:sz w:val="16"/>
                <w:szCs w:val="16"/>
              </w:rPr>
              <w:t xml:space="preserve">Page </w:t>
            </w:r>
            <w:r w:rsidRPr="00A808AC">
              <w:rPr>
                <w:b/>
                <w:bCs/>
                <w:sz w:val="16"/>
                <w:szCs w:val="16"/>
              </w:rPr>
              <w:fldChar w:fldCharType="begin"/>
            </w:r>
            <w:r w:rsidRPr="00A808AC">
              <w:rPr>
                <w:b/>
                <w:bCs/>
                <w:sz w:val="16"/>
                <w:szCs w:val="16"/>
              </w:rPr>
              <w:instrText xml:space="preserve"> PAGE </w:instrText>
            </w:r>
            <w:r w:rsidRPr="00A808AC">
              <w:rPr>
                <w:b/>
                <w:bCs/>
                <w:sz w:val="16"/>
                <w:szCs w:val="16"/>
              </w:rPr>
              <w:fldChar w:fldCharType="separate"/>
            </w:r>
            <w:r w:rsidR="00096A40">
              <w:rPr>
                <w:b/>
                <w:bCs/>
                <w:noProof/>
                <w:sz w:val="16"/>
                <w:szCs w:val="16"/>
              </w:rPr>
              <w:t>2</w:t>
            </w:r>
            <w:r w:rsidRPr="00A808AC">
              <w:rPr>
                <w:b/>
                <w:bCs/>
                <w:sz w:val="16"/>
                <w:szCs w:val="16"/>
              </w:rPr>
              <w:fldChar w:fldCharType="end"/>
            </w:r>
            <w:r w:rsidRPr="00A808AC">
              <w:rPr>
                <w:sz w:val="16"/>
                <w:szCs w:val="16"/>
              </w:rPr>
              <w:t xml:space="preserve"> of </w:t>
            </w:r>
            <w:r w:rsidRPr="00A808AC">
              <w:rPr>
                <w:b/>
                <w:bCs/>
                <w:sz w:val="16"/>
                <w:szCs w:val="16"/>
              </w:rPr>
              <w:fldChar w:fldCharType="begin"/>
            </w:r>
            <w:r w:rsidRPr="00A808AC">
              <w:rPr>
                <w:b/>
                <w:bCs/>
                <w:sz w:val="16"/>
                <w:szCs w:val="16"/>
              </w:rPr>
              <w:instrText xml:space="preserve"> NUMPAGES  </w:instrText>
            </w:r>
            <w:r w:rsidRPr="00A808AC">
              <w:rPr>
                <w:b/>
                <w:bCs/>
                <w:sz w:val="16"/>
                <w:szCs w:val="16"/>
              </w:rPr>
              <w:fldChar w:fldCharType="separate"/>
            </w:r>
            <w:r w:rsidR="00096A40">
              <w:rPr>
                <w:b/>
                <w:bCs/>
                <w:noProof/>
                <w:sz w:val="16"/>
                <w:szCs w:val="16"/>
              </w:rPr>
              <w:t>18</w:t>
            </w:r>
            <w:r w:rsidRPr="00A808AC">
              <w:rPr>
                <w:b/>
                <w:bCs/>
                <w:sz w:val="16"/>
                <w:szCs w:val="16"/>
              </w:rPr>
              <w:fldChar w:fldCharType="end"/>
            </w:r>
          </w:p>
        </w:sdtContent>
      </w:sdt>
    </w:sdtContent>
  </w:sdt>
  <w:p w:rsidR="006F4376" w:rsidRDefault="006F4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376" w:rsidRDefault="006F4376" w:rsidP="00AE45B1">
      <w:pPr>
        <w:spacing w:after="0" w:line="240" w:lineRule="auto"/>
      </w:pPr>
      <w:r>
        <w:separator/>
      </w:r>
    </w:p>
  </w:footnote>
  <w:footnote w:type="continuationSeparator" w:id="0">
    <w:p w:rsidR="006F4376" w:rsidRDefault="006F4376" w:rsidP="00AE45B1">
      <w:pPr>
        <w:spacing w:after="0" w:line="240" w:lineRule="auto"/>
      </w:pPr>
      <w:r>
        <w:continuationSeparator/>
      </w:r>
    </w:p>
  </w:footnote>
  <w:footnote w:id="1">
    <w:p w:rsidR="006F4376" w:rsidRDefault="006F4376" w:rsidP="0083719D">
      <w:pPr>
        <w:autoSpaceDE w:val="0"/>
        <w:autoSpaceDN w:val="0"/>
        <w:adjustRightInd w:val="0"/>
        <w:spacing w:after="120"/>
        <w:rPr>
          <w:rFonts w:ascii="Arial" w:hAnsi="Arial" w:cs="Arial"/>
          <w:color w:val="000000"/>
        </w:rPr>
      </w:pPr>
      <w:r>
        <w:rPr>
          <w:rStyle w:val="FootnoteReference"/>
        </w:rPr>
        <w:footnoteRef/>
      </w:r>
      <w:r>
        <w:t xml:space="preserve"> </w:t>
      </w:r>
      <w:r>
        <w:rPr>
          <w:rFonts w:ascii="Arial" w:hAnsi="Arial" w:cs="Arial"/>
          <w:color w:val="000000"/>
        </w:rPr>
        <w:t>(</w:t>
      </w:r>
      <w:r>
        <w:rPr>
          <w:rFonts w:ascii="Arial" w:hAnsi="Arial" w:cs="Arial"/>
          <w:color w:val="676D6D"/>
          <w:sz w:val="21"/>
          <w:szCs w:val="21"/>
          <w:shd w:val="clear" w:color="auto" w:fill="FFFFFF"/>
        </w:rPr>
        <w:t>The new reporting requirements for public bodies are set out in the </w:t>
      </w:r>
      <w:hyperlink r:id="rId1" w:tgtFrame="_blank" w:history="1">
        <w:r>
          <w:rPr>
            <w:rStyle w:val="Hyperlink"/>
            <w:rFonts w:ascii="Arial" w:hAnsi="Arial" w:cs="Arial"/>
            <w:color w:val="4382BA"/>
            <w:sz w:val="21"/>
            <w:szCs w:val="21"/>
            <w:shd w:val="clear" w:color="auto" w:fill="FFFFFF"/>
          </w:rPr>
          <w:t>Equality Act 2010 (Specific Duties and Public Authorities) Regulations 2017</w:t>
        </w:r>
      </w:hyperlink>
      <w:r>
        <w:t>).</w:t>
      </w:r>
    </w:p>
    <w:p w:rsidR="006F4376" w:rsidRDefault="006F4376" w:rsidP="0083719D">
      <w:pPr>
        <w:pStyle w:val="FootnoteText"/>
      </w:pPr>
    </w:p>
  </w:footnote>
  <w:footnote w:id="2">
    <w:p w:rsidR="006F4376" w:rsidRPr="00307421" w:rsidRDefault="006F4376" w:rsidP="00307421">
      <w:pPr>
        <w:pStyle w:val="Heading1"/>
        <w:autoSpaceDE w:val="0"/>
        <w:autoSpaceDN w:val="0"/>
        <w:adjustRightInd w:val="0"/>
        <w:spacing w:before="0"/>
        <w:rPr>
          <w:rFonts w:ascii="Arial" w:hAnsi="Arial" w:cs="Arial"/>
          <w:b w:val="0"/>
          <w:i/>
          <w:color w:val="auto"/>
          <w:sz w:val="20"/>
          <w:szCs w:val="20"/>
        </w:rPr>
      </w:pPr>
      <w:r>
        <w:rPr>
          <w:rStyle w:val="FootnoteReference"/>
        </w:rPr>
        <w:footnoteRef/>
      </w:r>
      <w:r>
        <w:t xml:space="preserve"> </w:t>
      </w:r>
      <w:r w:rsidRPr="00307421">
        <w:rPr>
          <w:rFonts w:ascii="Arial" w:hAnsi="Arial" w:cs="Arial"/>
          <w:b w:val="0"/>
          <w:color w:val="auto"/>
          <w:sz w:val="20"/>
          <w:szCs w:val="20"/>
        </w:rPr>
        <w:t xml:space="preserve">Clinical Excellence Awards are categorised as bonuses.  </w:t>
      </w:r>
    </w:p>
    <w:p w:rsidR="006F4376" w:rsidRPr="002305F5" w:rsidRDefault="006F4376" w:rsidP="002305F5">
      <w:pPr>
        <w:pStyle w:val="FootnoteText"/>
      </w:pPr>
    </w:p>
  </w:footnote>
  <w:footnote w:id="3">
    <w:p w:rsidR="006F4376" w:rsidRPr="001E0F58" w:rsidRDefault="006F4376">
      <w:pPr>
        <w:pStyle w:val="FootnoteText"/>
        <w:rPr>
          <w:b/>
          <w:sz w:val="22"/>
          <w:szCs w:val="22"/>
        </w:rPr>
      </w:pPr>
      <w:r>
        <w:rPr>
          <w:rStyle w:val="FootnoteReference"/>
        </w:rPr>
        <w:footnoteRef/>
      </w:r>
      <w:r>
        <w:t xml:space="preserve"> </w:t>
      </w:r>
      <w:r>
        <w:rPr>
          <w:b/>
          <w:i/>
          <w:sz w:val="22"/>
          <w:szCs w:val="22"/>
        </w:rPr>
        <w:t>N</w:t>
      </w:r>
      <w:r w:rsidRPr="001E0F58">
        <w:rPr>
          <w:b/>
          <w:i/>
          <w:sz w:val="22"/>
          <w:szCs w:val="22"/>
        </w:rPr>
        <w:t xml:space="preserve">o </w:t>
      </w:r>
      <w:r>
        <w:rPr>
          <w:b/>
          <w:i/>
          <w:sz w:val="22"/>
          <w:szCs w:val="22"/>
        </w:rPr>
        <w:t xml:space="preserve">bank </w:t>
      </w:r>
      <w:r w:rsidRPr="001E0F58">
        <w:rPr>
          <w:b/>
          <w:i/>
          <w:sz w:val="22"/>
          <w:szCs w:val="22"/>
        </w:rPr>
        <w:t xml:space="preserve">staff paid a bonus– This </w:t>
      </w:r>
      <w:r>
        <w:rPr>
          <w:b/>
          <w:i/>
          <w:sz w:val="22"/>
          <w:szCs w:val="22"/>
        </w:rPr>
        <w:t xml:space="preserve">chart </w:t>
      </w:r>
      <w:r w:rsidRPr="001E0F58">
        <w:rPr>
          <w:b/>
          <w:i/>
          <w:sz w:val="22"/>
          <w:szCs w:val="22"/>
        </w:rPr>
        <w:t>shows that 1.64% of employed staff are paid bonus</w:t>
      </w:r>
    </w:p>
    <w:tbl>
      <w:tblPr>
        <w:tblW w:w="6342" w:type="dxa"/>
        <w:tblInd w:w="-5" w:type="dxa"/>
        <w:tblLook w:val="04A0" w:firstRow="1" w:lastRow="0" w:firstColumn="1" w:lastColumn="0" w:noHBand="0" w:noVBand="1"/>
      </w:tblPr>
      <w:tblGrid>
        <w:gridCol w:w="993"/>
        <w:gridCol w:w="2409"/>
        <w:gridCol w:w="1920"/>
        <w:gridCol w:w="1020"/>
      </w:tblGrid>
      <w:tr w:rsidR="006F4376" w:rsidRPr="001108D9" w:rsidTr="00A87940">
        <w:trPr>
          <w:trHeight w:val="287"/>
        </w:trPr>
        <w:tc>
          <w:tcPr>
            <w:tcW w:w="6342" w:type="dxa"/>
            <w:gridSpan w:val="4"/>
            <w:tcBorders>
              <w:top w:val="single" w:sz="4" w:space="0" w:color="auto"/>
              <w:left w:val="single" w:sz="4" w:space="0" w:color="auto"/>
              <w:bottom w:val="single" w:sz="4" w:space="0" w:color="auto"/>
              <w:right w:val="single" w:sz="4" w:space="0" w:color="auto"/>
            </w:tcBorders>
            <w:shd w:val="clear" w:color="000000" w:fill="F2F2F2" w:themeFill="background1" w:themeFillShade="F2"/>
            <w:hideMark/>
          </w:tcPr>
          <w:p w:rsidR="006F4376" w:rsidRPr="001108D9" w:rsidRDefault="006F4376" w:rsidP="001108D9">
            <w:pPr>
              <w:spacing w:after="0" w:line="240" w:lineRule="auto"/>
              <w:rPr>
                <w:rFonts w:ascii="Calibri" w:eastAsia="Times New Roman" w:hAnsi="Calibri" w:cs="Calibri"/>
                <w:b/>
                <w:bCs/>
                <w:i/>
                <w:lang w:eastAsia="en-GB"/>
              </w:rPr>
            </w:pPr>
            <w:r w:rsidRPr="001108D9">
              <w:rPr>
                <w:rFonts w:ascii="Calibri" w:eastAsia="Times New Roman" w:hAnsi="Calibri" w:cs="Calibri"/>
                <w:b/>
                <w:bCs/>
                <w:i/>
                <w:lang w:eastAsia="en-GB"/>
              </w:rPr>
              <w:t>Bonus using Ordinary Pay Relevant Employees (no bank)</w:t>
            </w:r>
          </w:p>
        </w:tc>
      </w:tr>
      <w:tr w:rsidR="006F4376" w:rsidRPr="001108D9" w:rsidTr="00A87940">
        <w:trPr>
          <w:trHeight w:val="291"/>
        </w:trPr>
        <w:tc>
          <w:tcPr>
            <w:tcW w:w="993" w:type="dxa"/>
            <w:tcBorders>
              <w:top w:val="nil"/>
              <w:left w:val="single" w:sz="4" w:space="0" w:color="auto"/>
              <w:bottom w:val="single" w:sz="4" w:space="0" w:color="auto"/>
              <w:right w:val="single" w:sz="4" w:space="0" w:color="auto"/>
            </w:tcBorders>
            <w:shd w:val="clear" w:color="000000" w:fill="F2F2F2" w:themeFill="background1" w:themeFillShade="F2"/>
            <w:hideMark/>
          </w:tcPr>
          <w:p w:rsidR="006F4376" w:rsidRPr="001108D9" w:rsidRDefault="006F4376" w:rsidP="001108D9">
            <w:pPr>
              <w:spacing w:after="0" w:line="240" w:lineRule="auto"/>
              <w:rPr>
                <w:rFonts w:ascii="Calibri" w:eastAsia="Times New Roman" w:hAnsi="Calibri" w:cs="Calibri"/>
                <w:b/>
                <w:bCs/>
                <w:i/>
                <w:lang w:eastAsia="en-GB"/>
              </w:rPr>
            </w:pPr>
            <w:r w:rsidRPr="001108D9">
              <w:rPr>
                <w:rFonts w:ascii="Calibri" w:eastAsia="Times New Roman" w:hAnsi="Calibri" w:cs="Calibri"/>
                <w:b/>
                <w:bCs/>
                <w:i/>
                <w:lang w:eastAsia="en-GB"/>
              </w:rPr>
              <w:t>Gender</w:t>
            </w:r>
          </w:p>
        </w:tc>
        <w:tc>
          <w:tcPr>
            <w:tcW w:w="2409" w:type="dxa"/>
            <w:tcBorders>
              <w:top w:val="nil"/>
              <w:left w:val="nil"/>
              <w:bottom w:val="single" w:sz="4" w:space="0" w:color="auto"/>
              <w:right w:val="single" w:sz="4" w:space="0" w:color="auto"/>
            </w:tcBorders>
            <w:shd w:val="clear" w:color="000000" w:fill="F2F2F2" w:themeFill="background1" w:themeFillShade="F2"/>
            <w:hideMark/>
          </w:tcPr>
          <w:p w:rsidR="006F4376" w:rsidRPr="001108D9" w:rsidRDefault="006F4376" w:rsidP="001108D9">
            <w:pPr>
              <w:spacing w:after="0" w:line="240" w:lineRule="auto"/>
              <w:jc w:val="center"/>
              <w:rPr>
                <w:rFonts w:ascii="Calibri" w:eastAsia="Times New Roman" w:hAnsi="Calibri" w:cs="Calibri"/>
                <w:b/>
                <w:bCs/>
                <w:i/>
                <w:lang w:eastAsia="en-GB"/>
              </w:rPr>
            </w:pPr>
            <w:r w:rsidRPr="001108D9">
              <w:rPr>
                <w:rFonts w:ascii="Calibri" w:eastAsia="Times New Roman" w:hAnsi="Calibri" w:cs="Calibri"/>
                <w:b/>
                <w:bCs/>
                <w:i/>
                <w:lang w:eastAsia="en-GB"/>
              </w:rPr>
              <w:t>Employees Paid Bonus</w:t>
            </w:r>
          </w:p>
        </w:tc>
        <w:tc>
          <w:tcPr>
            <w:tcW w:w="1920" w:type="dxa"/>
            <w:tcBorders>
              <w:top w:val="nil"/>
              <w:left w:val="nil"/>
              <w:bottom w:val="single" w:sz="4" w:space="0" w:color="auto"/>
              <w:right w:val="single" w:sz="4" w:space="0" w:color="auto"/>
            </w:tcBorders>
            <w:shd w:val="clear" w:color="000000" w:fill="F2F2F2" w:themeFill="background1" w:themeFillShade="F2"/>
            <w:hideMark/>
          </w:tcPr>
          <w:p w:rsidR="006F4376" w:rsidRPr="001108D9" w:rsidRDefault="006F4376" w:rsidP="001108D9">
            <w:pPr>
              <w:spacing w:after="0" w:line="240" w:lineRule="auto"/>
              <w:jc w:val="center"/>
              <w:rPr>
                <w:rFonts w:ascii="Calibri" w:eastAsia="Times New Roman" w:hAnsi="Calibri" w:cs="Calibri"/>
                <w:b/>
                <w:bCs/>
                <w:i/>
                <w:lang w:eastAsia="en-GB"/>
              </w:rPr>
            </w:pPr>
            <w:r w:rsidRPr="001108D9">
              <w:rPr>
                <w:rFonts w:ascii="Calibri" w:eastAsia="Times New Roman" w:hAnsi="Calibri" w:cs="Calibri"/>
                <w:b/>
                <w:bCs/>
                <w:i/>
                <w:lang w:eastAsia="en-GB"/>
              </w:rPr>
              <w:t>Total  Employees</w:t>
            </w:r>
          </w:p>
        </w:tc>
        <w:tc>
          <w:tcPr>
            <w:tcW w:w="1020" w:type="dxa"/>
            <w:tcBorders>
              <w:top w:val="nil"/>
              <w:left w:val="nil"/>
              <w:bottom w:val="single" w:sz="4" w:space="0" w:color="auto"/>
              <w:right w:val="single" w:sz="4" w:space="0" w:color="auto"/>
            </w:tcBorders>
            <w:shd w:val="clear" w:color="000000" w:fill="F2F2F2" w:themeFill="background1" w:themeFillShade="F2"/>
            <w:hideMark/>
          </w:tcPr>
          <w:p w:rsidR="006F4376" w:rsidRPr="001108D9" w:rsidRDefault="006F4376" w:rsidP="001108D9">
            <w:pPr>
              <w:spacing w:after="0" w:line="240" w:lineRule="auto"/>
              <w:jc w:val="center"/>
              <w:rPr>
                <w:rFonts w:ascii="Calibri" w:eastAsia="Times New Roman" w:hAnsi="Calibri" w:cs="Calibri"/>
                <w:b/>
                <w:bCs/>
                <w:i/>
                <w:lang w:eastAsia="en-GB"/>
              </w:rPr>
            </w:pPr>
            <w:r w:rsidRPr="001108D9">
              <w:rPr>
                <w:rFonts w:ascii="Calibri" w:eastAsia="Times New Roman" w:hAnsi="Calibri" w:cs="Calibri"/>
                <w:b/>
                <w:bCs/>
                <w:i/>
                <w:lang w:eastAsia="en-GB"/>
              </w:rPr>
              <w:t>%</w:t>
            </w:r>
          </w:p>
        </w:tc>
      </w:tr>
      <w:tr w:rsidR="006F4376" w:rsidRPr="001108D9" w:rsidTr="00A87940">
        <w:trPr>
          <w:trHeight w:val="287"/>
        </w:trPr>
        <w:tc>
          <w:tcPr>
            <w:tcW w:w="993" w:type="dxa"/>
            <w:tcBorders>
              <w:top w:val="single" w:sz="4" w:space="0" w:color="auto"/>
              <w:left w:val="single" w:sz="4" w:space="0" w:color="auto"/>
              <w:bottom w:val="single" w:sz="4" w:space="0" w:color="auto"/>
              <w:right w:val="single" w:sz="4" w:space="0" w:color="auto"/>
            </w:tcBorders>
            <w:shd w:val="clear" w:color="000000" w:fill="F2F2F2" w:themeFill="background1" w:themeFillShade="F2"/>
            <w:hideMark/>
          </w:tcPr>
          <w:p w:rsidR="006F4376" w:rsidRPr="001108D9" w:rsidRDefault="006F4376" w:rsidP="001108D9">
            <w:pPr>
              <w:spacing w:after="0" w:line="240" w:lineRule="auto"/>
              <w:rPr>
                <w:rFonts w:ascii="Calibri" w:eastAsia="Times New Roman" w:hAnsi="Calibri" w:cs="Calibri"/>
                <w:b/>
                <w:bCs/>
                <w:i/>
                <w:lang w:eastAsia="en-GB"/>
              </w:rPr>
            </w:pPr>
            <w:r w:rsidRPr="001108D9">
              <w:rPr>
                <w:rFonts w:ascii="Calibri" w:eastAsia="Times New Roman" w:hAnsi="Calibri" w:cs="Calibri"/>
                <w:b/>
                <w:bCs/>
                <w:i/>
                <w:lang w:eastAsia="en-GB"/>
              </w:rPr>
              <w:t>Female</w:t>
            </w:r>
          </w:p>
        </w:tc>
        <w:tc>
          <w:tcPr>
            <w:tcW w:w="2409" w:type="dxa"/>
            <w:tcBorders>
              <w:top w:val="nil"/>
              <w:left w:val="nil"/>
              <w:bottom w:val="single" w:sz="4" w:space="0" w:color="auto"/>
              <w:right w:val="single" w:sz="4" w:space="0" w:color="auto"/>
            </w:tcBorders>
            <w:shd w:val="clear" w:color="000000" w:fill="FFFFFF"/>
            <w:vAlign w:val="center"/>
            <w:hideMark/>
          </w:tcPr>
          <w:p w:rsidR="006F4376" w:rsidRPr="001108D9" w:rsidRDefault="006F4376" w:rsidP="001108D9">
            <w:pPr>
              <w:spacing w:after="0" w:line="240" w:lineRule="auto"/>
              <w:jc w:val="center"/>
              <w:rPr>
                <w:rFonts w:ascii="Calibri" w:eastAsia="Times New Roman" w:hAnsi="Calibri" w:cs="Calibri"/>
                <w:b/>
                <w:bCs/>
                <w:i/>
                <w:lang w:eastAsia="en-GB"/>
              </w:rPr>
            </w:pPr>
            <w:r w:rsidRPr="001108D9">
              <w:rPr>
                <w:rFonts w:ascii="Calibri" w:eastAsia="Times New Roman" w:hAnsi="Calibri" w:cs="Calibri"/>
                <w:b/>
                <w:bCs/>
                <w:i/>
                <w:lang w:eastAsia="en-GB"/>
              </w:rPr>
              <w:t>47</w:t>
            </w:r>
          </w:p>
        </w:tc>
        <w:tc>
          <w:tcPr>
            <w:tcW w:w="1920" w:type="dxa"/>
            <w:tcBorders>
              <w:top w:val="nil"/>
              <w:left w:val="nil"/>
              <w:bottom w:val="single" w:sz="4" w:space="0" w:color="auto"/>
              <w:right w:val="single" w:sz="4" w:space="0" w:color="auto"/>
            </w:tcBorders>
            <w:shd w:val="clear" w:color="auto" w:fill="auto"/>
            <w:noWrap/>
            <w:vAlign w:val="center"/>
            <w:hideMark/>
          </w:tcPr>
          <w:p w:rsidR="006F4376" w:rsidRPr="001108D9" w:rsidRDefault="006F4376" w:rsidP="001108D9">
            <w:pPr>
              <w:spacing w:after="0" w:line="240" w:lineRule="auto"/>
              <w:jc w:val="center"/>
              <w:rPr>
                <w:rFonts w:ascii="Calibri" w:eastAsia="Times New Roman" w:hAnsi="Calibri" w:cs="Calibri"/>
                <w:i/>
                <w:lang w:eastAsia="en-GB"/>
              </w:rPr>
            </w:pPr>
            <w:r w:rsidRPr="001108D9">
              <w:rPr>
                <w:rFonts w:ascii="Calibri" w:eastAsia="Times New Roman" w:hAnsi="Calibri" w:cs="Calibri"/>
                <w:i/>
                <w:lang w:eastAsia="en-GB"/>
              </w:rPr>
              <w:t>6556</w:t>
            </w:r>
          </w:p>
        </w:tc>
        <w:tc>
          <w:tcPr>
            <w:tcW w:w="1020" w:type="dxa"/>
            <w:tcBorders>
              <w:top w:val="nil"/>
              <w:left w:val="nil"/>
              <w:bottom w:val="single" w:sz="4" w:space="0" w:color="auto"/>
              <w:right w:val="single" w:sz="4" w:space="0" w:color="auto"/>
            </w:tcBorders>
            <w:shd w:val="clear" w:color="000000" w:fill="FFFFFF"/>
            <w:vAlign w:val="center"/>
            <w:hideMark/>
          </w:tcPr>
          <w:p w:rsidR="006F4376" w:rsidRPr="001108D9" w:rsidRDefault="006F4376" w:rsidP="001108D9">
            <w:pPr>
              <w:spacing w:after="0" w:line="240" w:lineRule="auto"/>
              <w:jc w:val="center"/>
              <w:rPr>
                <w:rFonts w:ascii="Calibri" w:eastAsia="Times New Roman" w:hAnsi="Calibri" w:cs="Calibri"/>
                <w:i/>
                <w:lang w:eastAsia="en-GB"/>
              </w:rPr>
            </w:pPr>
            <w:r w:rsidRPr="001108D9">
              <w:rPr>
                <w:rFonts w:ascii="Calibri" w:eastAsia="Times New Roman" w:hAnsi="Calibri" w:cs="Calibri"/>
                <w:i/>
                <w:lang w:eastAsia="en-GB"/>
              </w:rPr>
              <w:t>0.72%</w:t>
            </w:r>
          </w:p>
        </w:tc>
      </w:tr>
      <w:tr w:rsidR="006F4376" w:rsidRPr="001108D9" w:rsidTr="00A87940">
        <w:trPr>
          <w:trHeight w:val="287"/>
        </w:trPr>
        <w:tc>
          <w:tcPr>
            <w:tcW w:w="993" w:type="dxa"/>
            <w:tcBorders>
              <w:top w:val="single" w:sz="4" w:space="0" w:color="auto"/>
              <w:left w:val="single" w:sz="4" w:space="0" w:color="auto"/>
              <w:bottom w:val="single" w:sz="4" w:space="0" w:color="auto"/>
              <w:right w:val="single" w:sz="4" w:space="0" w:color="auto"/>
            </w:tcBorders>
            <w:shd w:val="clear" w:color="000000" w:fill="F2F2F2" w:themeFill="background1" w:themeFillShade="F2"/>
            <w:hideMark/>
          </w:tcPr>
          <w:p w:rsidR="006F4376" w:rsidRPr="001108D9" w:rsidRDefault="006F4376" w:rsidP="001108D9">
            <w:pPr>
              <w:spacing w:after="0" w:line="240" w:lineRule="auto"/>
              <w:rPr>
                <w:rFonts w:ascii="Calibri" w:eastAsia="Times New Roman" w:hAnsi="Calibri" w:cs="Calibri"/>
                <w:b/>
                <w:bCs/>
                <w:i/>
                <w:lang w:eastAsia="en-GB"/>
              </w:rPr>
            </w:pPr>
            <w:r w:rsidRPr="001108D9">
              <w:rPr>
                <w:rFonts w:ascii="Calibri" w:eastAsia="Times New Roman" w:hAnsi="Calibri" w:cs="Calibri"/>
                <w:b/>
                <w:bCs/>
                <w:i/>
                <w:lang w:eastAsia="en-GB"/>
              </w:rPr>
              <w:t>Male</w:t>
            </w:r>
          </w:p>
        </w:tc>
        <w:tc>
          <w:tcPr>
            <w:tcW w:w="2409" w:type="dxa"/>
            <w:tcBorders>
              <w:top w:val="nil"/>
              <w:left w:val="nil"/>
              <w:bottom w:val="single" w:sz="4" w:space="0" w:color="auto"/>
              <w:right w:val="single" w:sz="4" w:space="0" w:color="auto"/>
            </w:tcBorders>
            <w:shd w:val="clear" w:color="000000" w:fill="FFFFFF"/>
            <w:vAlign w:val="center"/>
            <w:hideMark/>
          </w:tcPr>
          <w:p w:rsidR="006F4376" w:rsidRPr="001108D9" w:rsidRDefault="006F4376" w:rsidP="001108D9">
            <w:pPr>
              <w:spacing w:after="0" w:line="240" w:lineRule="auto"/>
              <w:jc w:val="center"/>
              <w:rPr>
                <w:rFonts w:ascii="Calibri" w:eastAsia="Times New Roman" w:hAnsi="Calibri" w:cs="Calibri"/>
                <w:b/>
                <w:bCs/>
                <w:i/>
                <w:lang w:eastAsia="en-GB"/>
              </w:rPr>
            </w:pPr>
            <w:r w:rsidRPr="001108D9">
              <w:rPr>
                <w:rFonts w:ascii="Calibri" w:eastAsia="Times New Roman" w:hAnsi="Calibri" w:cs="Calibri"/>
                <w:b/>
                <w:bCs/>
                <w:i/>
                <w:lang w:eastAsia="en-GB"/>
              </w:rPr>
              <w:t>90</w:t>
            </w:r>
          </w:p>
        </w:tc>
        <w:tc>
          <w:tcPr>
            <w:tcW w:w="1920" w:type="dxa"/>
            <w:tcBorders>
              <w:top w:val="nil"/>
              <w:left w:val="nil"/>
              <w:bottom w:val="single" w:sz="4" w:space="0" w:color="auto"/>
              <w:right w:val="single" w:sz="4" w:space="0" w:color="auto"/>
            </w:tcBorders>
            <w:shd w:val="clear" w:color="auto" w:fill="auto"/>
            <w:noWrap/>
            <w:vAlign w:val="center"/>
            <w:hideMark/>
          </w:tcPr>
          <w:p w:rsidR="006F4376" w:rsidRPr="001108D9" w:rsidRDefault="006F4376" w:rsidP="001108D9">
            <w:pPr>
              <w:spacing w:after="0" w:line="240" w:lineRule="auto"/>
              <w:jc w:val="center"/>
              <w:rPr>
                <w:rFonts w:ascii="Calibri" w:eastAsia="Times New Roman" w:hAnsi="Calibri" w:cs="Calibri"/>
                <w:i/>
                <w:lang w:eastAsia="en-GB"/>
              </w:rPr>
            </w:pPr>
            <w:r w:rsidRPr="001108D9">
              <w:rPr>
                <w:rFonts w:ascii="Calibri" w:eastAsia="Times New Roman" w:hAnsi="Calibri" w:cs="Calibri"/>
                <w:i/>
                <w:lang w:eastAsia="en-GB"/>
              </w:rPr>
              <w:t>1819</w:t>
            </w:r>
          </w:p>
        </w:tc>
        <w:tc>
          <w:tcPr>
            <w:tcW w:w="1020" w:type="dxa"/>
            <w:tcBorders>
              <w:top w:val="nil"/>
              <w:left w:val="nil"/>
              <w:bottom w:val="single" w:sz="4" w:space="0" w:color="auto"/>
              <w:right w:val="single" w:sz="4" w:space="0" w:color="auto"/>
            </w:tcBorders>
            <w:shd w:val="clear" w:color="000000" w:fill="FFFFFF"/>
            <w:vAlign w:val="center"/>
            <w:hideMark/>
          </w:tcPr>
          <w:p w:rsidR="006F4376" w:rsidRPr="001108D9" w:rsidRDefault="006F4376" w:rsidP="001108D9">
            <w:pPr>
              <w:spacing w:after="0" w:line="240" w:lineRule="auto"/>
              <w:jc w:val="center"/>
              <w:rPr>
                <w:rFonts w:ascii="Calibri" w:eastAsia="Times New Roman" w:hAnsi="Calibri" w:cs="Calibri"/>
                <w:i/>
                <w:lang w:eastAsia="en-GB"/>
              </w:rPr>
            </w:pPr>
            <w:r w:rsidRPr="001108D9">
              <w:rPr>
                <w:rFonts w:ascii="Calibri" w:eastAsia="Times New Roman" w:hAnsi="Calibri" w:cs="Calibri"/>
                <w:i/>
                <w:lang w:eastAsia="en-GB"/>
              </w:rPr>
              <w:t>4.95%</w:t>
            </w:r>
          </w:p>
        </w:tc>
      </w:tr>
      <w:tr w:rsidR="006F4376" w:rsidRPr="001108D9" w:rsidTr="00A87940">
        <w:trPr>
          <w:trHeight w:val="287"/>
        </w:trPr>
        <w:tc>
          <w:tcPr>
            <w:tcW w:w="993" w:type="dxa"/>
            <w:tcBorders>
              <w:top w:val="single" w:sz="4" w:space="0" w:color="auto"/>
              <w:left w:val="single" w:sz="4" w:space="0" w:color="auto"/>
              <w:bottom w:val="single" w:sz="4" w:space="0" w:color="auto"/>
              <w:right w:val="single" w:sz="4" w:space="0" w:color="auto"/>
            </w:tcBorders>
            <w:shd w:val="clear" w:color="000000" w:fill="F2F2F2" w:themeFill="background1" w:themeFillShade="F2"/>
            <w:hideMark/>
          </w:tcPr>
          <w:p w:rsidR="006F4376" w:rsidRPr="001108D9" w:rsidRDefault="006F4376" w:rsidP="001108D9">
            <w:pPr>
              <w:spacing w:after="0" w:line="240" w:lineRule="auto"/>
              <w:rPr>
                <w:rFonts w:ascii="Calibri" w:eastAsia="Times New Roman" w:hAnsi="Calibri" w:cs="Calibri"/>
                <w:b/>
                <w:bCs/>
                <w:i/>
                <w:lang w:eastAsia="en-GB"/>
              </w:rPr>
            </w:pPr>
            <w:r w:rsidRPr="001108D9">
              <w:rPr>
                <w:rFonts w:ascii="Calibri" w:eastAsia="Times New Roman" w:hAnsi="Calibri" w:cs="Calibri"/>
                <w:b/>
                <w:bCs/>
                <w:i/>
                <w:lang w:eastAsia="en-GB"/>
              </w:rPr>
              <w:t>Overall</w:t>
            </w:r>
          </w:p>
        </w:tc>
        <w:tc>
          <w:tcPr>
            <w:tcW w:w="2409" w:type="dxa"/>
            <w:tcBorders>
              <w:top w:val="nil"/>
              <w:left w:val="nil"/>
              <w:bottom w:val="single" w:sz="4" w:space="0" w:color="auto"/>
              <w:right w:val="single" w:sz="4" w:space="0" w:color="auto"/>
            </w:tcBorders>
            <w:shd w:val="clear" w:color="auto" w:fill="auto"/>
            <w:noWrap/>
            <w:vAlign w:val="center"/>
            <w:hideMark/>
          </w:tcPr>
          <w:p w:rsidR="006F4376" w:rsidRPr="001108D9" w:rsidRDefault="006F4376" w:rsidP="001108D9">
            <w:pPr>
              <w:spacing w:after="0" w:line="240" w:lineRule="auto"/>
              <w:jc w:val="center"/>
              <w:rPr>
                <w:rFonts w:ascii="Calibri" w:eastAsia="Times New Roman" w:hAnsi="Calibri" w:cs="Calibri"/>
                <w:b/>
                <w:bCs/>
                <w:i/>
                <w:lang w:eastAsia="en-GB"/>
              </w:rPr>
            </w:pPr>
            <w:r w:rsidRPr="001108D9">
              <w:rPr>
                <w:rFonts w:ascii="Calibri" w:eastAsia="Times New Roman" w:hAnsi="Calibri" w:cs="Calibri"/>
                <w:b/>
                <w:bCs/>
                <w:i/>
                <w:lang w:eastAsia="en-GB"/>
              </w:rPr>
              <w:t>137</w:t>
            </w:r>
          </w:p>
        </w:tc>
        <w:tc>
          <w:tcPr>
            <w:tcW w:w="1920" w:type="dxa"/>
            <w:tcBorders>
              <w:top w:val="nil"/>
              <w:left w:val="nil"/>
              <w:bottom w:val="single" w:sz="4" w:space="0" w:color="auto"/>
              <w:right w:val="single" w:sz="4" w:space="0" w:color="auto"/>
            </w:tcBorders>
            <w:shd w:val="clear" w:color="auto" w:fill="auto"/>
            <w:noWrap/>
            <w:vAlign w:val="center"/>
            <w:hideMark/>
          </w:tcPr>
          <w:p w:rsidR="006F4376" w:rsidRPr="001108D9" w:rsidRDefault="006F4376" w:rsidP="001108D9">
            <w:pPr>
              <w:spacing w:after="0" w:line="240" w:lineRule="auto"/>
              <w:jc w:val="center"/>
              <w:rPr>
                <w:rFonts w:ascii="Calibri" w:eastAsia="Times New Roman" w:hAnsi="Calibri" w:cs="Calibri"/>
                <w:i/>
                <w:lang w:eastAsia="en-GB"/>
              </w:rPr>
            </w:pPr>
            <w:r w:rsidRPr="001108D9">
              <w:rPr>
                <w:rFonts w:ascii="Calibri" w:eastAsia="Times New Roman" w:hAnsi="Calibri" w:cs="Calibri"/>
                <w:i/>
                <w:lang w:eastAsia="en-GB"/>
              </w:rPr>
              <w:t>8375</w:t>
            </w:r>
          </w:p>
        </w:tc>
        <w:tc>
          <w:tcPr>
            <w:tcW w:w="1020" w:type="dxa"/>
            <w:tcBorders>
              <w:top w:val="nil"/>
              <w:left w:val="nil"/>
              <w:bottom w:val="single" w:sz="4" w:space="0" w:color="auto"/>
              <w:right w:val="single" w:sz="4" w:space="0" w:color="auto"/>
            </w:tcBorders>
            <w:shd w:val="clear" w:color="000000" w:fill="FFFFFF"/>
            <w:vAlign w:val="center"/>
            <w:hideMark/>
          </w:tcPr>
          <w:p w:rsidR="006F4376" w:rsidRPr="001108D9" w:rsidRDefault="006F4376" w:rsidP="001108D9">
            <w:pPr>
              <w:spacing w:after="0" w:line="240" w:lineRule="auto"/>
              <w:jc w:val="center"/>
              <w:rPr>
                <w:rFonts w:ascii="Calibri" w:eastAsia="Times New Roman" w:hAnsi="Calibri" w:cs="Calibri"/>
                <w:i/>
                <w:lang w:eastAsia="en-GB"/>
              </w:rPr>
            </w:pPr>
            <w:r w:rsidRPr="001108D9">
              <w:rPr>
                <w:rFonts w:ascii="Calibri" w:eastAsia="Times New Roman" w:hAnsi="Calibri" w:cs="Calibri"/>
                <w:i/>
                <w:lang w:eastAsia="en-GB"/>
              </w:rPr>
              <w:t>1.64%</w:t>
            </w:r>
          </w:p>
        </w:tc>
      </w:tr>
    </w:tbl>
    <w:p w:rsidR="006F4376" w:rsidRDefault="006F4376">
      <w:pPr>
        <w:pStyle w:val="FootnoteText"/>
      </w:pPr>
    </w:p>
  </w:footnote>
  <w:footnote w:id="4">
    <w:p w:rsidR="006F4376" w:rsidRPr="009A7D73" w:rsidRDefault="006F4376" w:rsidP="009A7D73">
      <w:pPr>
        <w:spacing w:after="0"/>
        <w:rPr>
          <w:rFonts w:ascii="Arial" w:hAnsi="Arial" w:cs="Arial"/>
        </w:rPr>
      </w:pPr>
      <w:r w:rsidRPr="009A7D73">
        <w:rPr>
          <w:rStyle w:val="FootnoteReference"/>
          <w:sz w:val="20"/>
          <w:szCs w:val="20"/>
        </w:rPr>
        <w:footnoteRef/>
      </w:r>
      <w:r w:rsidRPr="009A7D73">
        <w:rPr>
          <w:sz w:val="20"/>
          <w:szCs w:val="20"/>
        </w:rPr>
        <w:t xml:space="preserve"> </w:t>
      </w:r>
      <w:r w:rsidRPr="009A7D73">
        <w:rPr>
          <w:rFonts w:ascii="Arial" w:hAnsi="Arial" w:cs="Arial"/>
          <w:sz w:val="20"/>
          <w:szCs w:val="20"/>
        </w:rPr>
        <w:t>Not all consultants are eligible to apply for and</w:t>
      </w:r>
      <w:r>
        <w:rPr>
          <w:rFonts w:ascii="Arial" w:hAnsi="Arial" w:cs="Arial"/>
          <w:sz w:val="20"/>
          <w:szCs w:val="20"/>
        </w:rPr>
        <w:t>/or</w:t>
      </w:r>
      <w:r w:rsidRPr="009A7D73">
        <w:rPr>
          <w:rFonts w:ascii="Arial" w:hAnsi="Arial" w:cs="Arial"/>
          <w:sz w:val="20"/>
          <w:szCs w:val="20"/>
        </w:rPr>
        <w:t xml:space="preserve"> receive clinical excellence awards for a bonus. </w:t>
      </w:r>
      <w:r>
        <w:rPr>
          <w:rFonts w:ascii="Arial" w:hAnsi="Arial" w:cs="Arial"/>
          <w:sz w:val="20"/>
          <w:szCs w:val="20"/>
        </w:rPr>
        <w:t>They need to have held a substantive appointment at BHFT</w:t>
      </w:r>
      <w:r w:rsidRPr="009A7D73">
        <w:rPr>
          <w:rFonts w:ascii="Arial" w:hAnsi="Arial" w:cs="Arial"/>
          <w:sz w:val="20"/>
          <w:szCs w:val="20"/>
        </w:rPr>
        <w:t xml:space="preserve"> for one year to be eligible to apply. An LCEA was paid over 2 years and so the number of those awarded an LCEA / and of LCEA payments made in a year are different figures. For bonus payment details in the Gender Pay Gap data it is the number who are paid.</w:t>
      </w:r>
      <w:r w:rsidRPr="009A7D73">
        <w:rPr>
          <w:rFonts w:ascii="Arial" w:hAnsi="Arial" w:cs="Arial"/>
        </w:rPr>
        <w:t xml:space="preserve"> </w:t>
      </w:r>
    </w:p>
    <w:p w:rsidR="006F4376" w:rsidRDefault="006F437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76" w:rsidRDefault="006F4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76" w:rsidRDefault="006F4376" w:rsidP="00B87244">
    <w:pPr>
      <w:pStyle w:val="Header"/>
      <w:jc w:val="right"/>
    </w:pPr>
    <w:r>
      <w:t>YE 2022 Gender Pay Gap data for reporting YE 2023 - 221121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76" w:rsidRDefault="006F4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4CB"/>
    <w:multiLevelType w:val="hybridMultilevel"/>
    <w:tmpl w:val="44AA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34517"/>
    <w:multiLevelType w:val="hybridMultilevel"/>
    <w:tmpl w:val="89A2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67953"/>
    <w:multiLevelType w:val="hybridMultilevel"/>
    <w:tmpl w:val="8FA40E10"/>
    <w:lvl w:ilvl="0" w:tplc="CDC0BB4E">
      <w:start w:val="47"/>
      <w:numFmt w:val="bullet"/>
      <w:lvlText w:val="-"/>
      <w:lvlJc w:val="left"/>
      <w:pPr>
        <w:ind w:left="360" w:hanging="360"/>
      </w:pPr>
      <w:rPr>
        <w:rFonts w:ascii="Arial" w:eastAsiaTheme="minorHAnsi" w:hAnsi="Arial" w:cs="Arial" w:hint="default"/>
        <w:b/>
        <w:color w:val="auto"/>
      </w:rPr>
    </w:lvl>
    <w:lvl w:ilvl="1" w:tplc="08090003">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3" w15:restartNumberingAfterBreak="0">
    <w:nsid w:val="1FB4732D"/>
    <w:multiLevelType w:val="hybridMultilevel"/>
    <w:tmpl w:val="287ED768"/>
    <w:lvl w:ilvl="0" w:tplc="619C31E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6D6064"/>
    <w:multiLevelType w:val="hybridMultilevel"/>
    <w:tmpl w:val="36F00DFC"/>
    <w:lvl w:ilvl="0" w:tplc="CE4264F0">
      <w:start w:val="47"/>
      <w:numFmt w:val="bullet"/>
      <w:lvlText w:val="-"/>
      <w:lvlJc w:val="left"/>
      <w:pPr>
        <w:ind w:left="36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3648A"/>
    <w:multiLevelType w:val="hybridMultilevel"/>
    <w:tmpl w:val="9870B0AC"/>
    <w:lvl w:ilvl="0" w:tplc="CE4264F0">
      <w:start w:val="47"/>
      <w:numFmt w:val="bullet"/>
      <w:lvlText w:val="-"/>
      <w:lvlJc w:val="left"/>
      <w:pPr>
        <w:ind w:left="360" w:hanging="360"/>
      </w:pPr>
      <w:rPr>
        <w:rFonts w:ascii="Arial" w:eastAsiaTheme="minorHAnsi"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7D7251"/>
    <w:multiLevelType w:val="hybridMultilevel"/>
    <w:tmpl w:val="D4184BEE"/>
    <w:lvl w:ilvl="0" w:tplc="109450C0">
      <w:start w:val="47"/>
      <w:numFmt w:val="bullet"/>
      <w:lvlText w:val="-"/>
      <w:lvlJc w:val="left"/>
      <w:pPr>
        <w:ind w:left="36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F495D"/>
    <w:multiLevelType w:val="hybridMultilevel"/>
    <w:tmpl w:val="60B8FD38"/>
    <w:lvl w:ilvl="0" w:tplc="109450C0">
      <w:start w:val="47"/>
      <w:numFmt w:val="bullet"/>
      <w:lvlText w:val="-"/>
      <w:lvlJc w:val="left"/>
      <w:pPr>
        <w:ind w:left="360" w:hanging="360"/>
      </w:pPr>
      <w:rPr>
        <w:rFonts w:ascii="Arial" w:eastAsiaTheme="minorHAnsi" w:hAnsi="Arial" w:cs="Arial" w:hint="default"/>
        <w:color w:val="auto"/>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8" w15:restartNumberingAfterBreak="0">
    <w:nsid w:val="53B9390D"/>
    <w:multiLevelType w:val="hybridMultilevel"/>
    <w:tmpl w:val="C3F65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905B25"/>
    <w:multiLevelType w:val="hybridMultilevel"/>
    <w:tmpl w:val="DE1C8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E645B9"/>
    <w:multiLevelType w:val="hybridMultilevel"/>
    <w:tmpl w:val="232A5004"/>
    <w:lvl w:ilvl="0" w:tplc="109450C0">
      <w:start w:val="47"/>
      <w:numFmt w:val="bullet"/>
      <w:lvlText w:val="-"/>
      <w:lvlJc w:val="left"/>
      <w:pPr>
        <w:ind w:left="36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E3F75"/>
    <w:multiLevelType w:val="hybridMultilevel"/>
    <w:tmpl w:val="DC727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2" w15:restartNumberingAfterBreak="0">
    <w:nsid w:val="602C395E"/>
    <w:multiLevelType w:val="hybridMultilevel"/>
    <w:tmpl w:val="019038AA"/>
    <w:lvl w:ilvl="0" w:tplc="08090001">
      <w:start w:val="1"/>
      <w:numFmt w:val="bullet"/>
      <w:lvlText w:val=""/>
      <w:lvlJc w:val="left"/>
      <w:pPr>
        <w:ind w:left="644" w:hanging="360"/>
      </w:pPr>
      <w:rPr>
        <w:rFonts w:ascii="Symbol" w:hAnsi="Symbol" w:hint="default"/>
        <w: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791E47E2"/>
    <w:multiLevelType w:val="hybridMultilevel"/>
    <w:tmpl w:val="0D0268C0"/>
    <w:lvl w:ilvl="0" w:tplc="B7F6CF8C">
      <w:start w:val="1"/>
      <w:numFmt w:val="decimal"/>
      <w:lvlText w:val="%1."/>
      <w:lvlJc w:val="left"/>
      <w:pPr>
        <w:ind w:left="360" w:hanging="360"/>
      </w:pPr>
      <w:rPr>
        <w:b/>
      </w:rPr>
    </w:lvl>
    <w:lvl w:ilvl="1" w:tplc="B9BCE7BA">
      <w:start w:val="1"/>
      <w:numFmt w:val="decimal"/>
      <w:lvlText w:val="(%2)"/>
      <w:lvlJc w:val="left"/>
      <w:pPr>
        <w:ind w:left="360" w:hanging="360"/>
      </w:pPr>
      <w:rPr>
        <w:rFonts w:ascii="Arial" w:hAnsi="Arial" w:cs="Arial" w:hint="default"/>
        <w:b/>
        <w:color w:val="auto"/>
        <w:sz w:val="22"/>
        <w:szCs w:val="22"/>
      </w:rPr>
    </w:lvl>
    <w:lvl w:ilvl="2" w:tplc="15CEFC9A">
      <w:start w:val="40"/>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1"/>
  </w:num>
  <w:num w:numId="5">
    <w:abstractNumId w:val="8"/>
  </w:num>
  <w:num w:numId="6">
    <w:abstractNumId w:val="0"/>
  </w:num>
  <w:num w:numId="7">
    <w:abstractNumId w:val="13"/>
  </w:num>
  <w:num w:numId="8">
    <w:abstractNumId w:val="12"/>
  </w:num>
  <w:num w:numId="9">
    <w:abstractNumId w:val="1"/>
  </w:num>
  <w:num w:numId="10">
    <w:abstractNumId w:val="9"/>
  </w:num>
  <w:num w:numId="11">
    <w:abstractNumId w:val="6"/>
  </w:num>
  <w:num w:numId="12">
    <w:abstractNumId w:val="10"/>
  </w:num>
  <w:num w:numId="13">
    <w:abstractNumId w:val="4"/>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F4"/>
    <w:rsid w:val="000012E7"/>
    <w:rsid w:val="0001106D"/>
    <w:rsid w:val="000210F6"/>
    <w:rsid w:val="000276A3"/>
    <w:rsid w:val="000311DA"/>
    <w:rsid w:val="00032A53"/>
    <w:rsid w:val="00036A58"/>
    <w:rsid w:val="00044DE5"/>
    <w:rsid w:val="00047200"/>
    <w:rsid w:val="00047ABE"/>
    <w:rsid w:val="00051B63"/>
    <w:rsid w:val="00052A6C"/>
    <w:rsid w:val="00060EEE"/>
    <w:rsid w:val="000657F1"/>
    <w:rsid w:val="00067771"/>
    <w:rsid w:val="00070111"/>
    <w:rsid w:val="000868CB"/>
    <w:rsid w:val="00086A2B"/>
    <w:rsid w:val="0009049E"/>
    <w:rsid w:val="00096175"/>
    <w:rsid w:val="00096A40"/>
    <w:rsid w:val="000B098A"/>
    <w:rsid w:val="000B10B2"/>
    <w:rsid w:val="000B209D"/>
    <w:rsid w:val="000B76AF"/>
    <w:rsid w:val="000C574C"/>
    <w:rsid w:val="000D06C6"/>
    <w:rsid w:val="000D2777"/>
    <w:rsid w:val="000D68F7"/>
    <w:rsid w:val="000D78A0"/>
    <w:rsid w:val="000E1159"/>
    <w:rsid w:val="000E2DB5"/>
    <w:rsid w:val="000E551C"/>
    <w:rsid w:val="000F1EE6"/>
    <w:rsid w:val="000F7D41"/>
    <w:rsid w:val="001013A0"/>
    <w:rsid w:val="0010308E"/>
    <w:rsid w:val="0010481B"/>
    <w:rsid w:val="001065A7"/>
    <w:rsid w:val="001108D9"/>
    <w:rsid w:val="001160DD"/>
    <w:rsid w:val="00121E36"/>
    <w:rsid w:val="00121F57"/>
    <w:rsid w:val="0013038B"/>
    <w:rsid w:val="00133FBB"/>
    <w:rsid w:val="00143FF7"/>
    <w:rsid w:val="001462F2"/>
    <w:rsid w:val="0015009B"/>
    <w:rsid w:val="00160849"/>
    <w:rsid w:val="0016611A"/>
    <w:rsid w:val="00166456"/>
    <w:rsid w:val="00166BB1"/>
    <w:rsid w:val="00170BE9"/>
    <w:rsid w:val="001749C2"/>
    <w:rsid w:val="0018028F"/>
    <w:rsid w:val="001818A7"/>
    <w:rsid w:val="00187084"/>
    <w:rsid w:val="0018731C"/>
    <w:rsid w:val="00187A94"/>
    <w:rsid w:val="0019074D"/>
    <w:rsid w:val="00195321"/>
    <w:rsid w:val="001A3A2A"/>
    <w:rsid w:val="001B1EC9"/>
    <w:rsid w:val="001B556F"/>
    <w:rsid w:val="001B5841"/>
    <w:rsid w:val="001C3A21"/>
    <w:rsid w:val="001C3D40"/>
    <w:rsid w:val="001D3AF7"/>
    <w:rsid w:val="001D47A1"/>
    <w:rsid w:val="001E0474"/>
    <w:rsid w:val="001E0F58"/>
    <w:rsid w:val="001E305C"/>
    <w:rsid w:val="001E3D8F"/>
    <w:rsid w:val="001E4C7F"/>
    <w:rsid w:val="001E550C"/>
    <w:rsid w:val="001E7906"/>
    <w:rsid w:val="0020143A"/>
    <w:rsid w:val="002029F7"/>
    <w:rsid w:val="00207D62"/>
    <w:rsid w:val="00214C58"/>
    <w:rsid w:val="00220B24"/>
    <w:rsid w:val="002213EE"/>
    <w:rsid w:val="00226810"/>
    <w:rsid w:val="002305F5"/>
    <w:rsid w:val="002328E7"/>
    <w:rsid w:val="00234E9A"/>
    <w:rsid w:val="002351CD"/>
    <w:rsid w:val="002406E4"/>
    <w:rsid w:val="0024598A"/>
    <w:rsid w:val="0024723B"/>
    <w:rsid w:val="002475B4"/>
    <w:rsid w:val="0025081F"/>
    <w:rsid w:val="002571D6"/>
    <w:rsid w:val="00262514"/>
    <w:rsid w:val="0026691B"/>
    <w:rsid w:val="002711E0"/>
    <w:rsid w:val="002941EC"/>
    <w:rsid w:val="002A35F1"/>
    <w:rsid w:val="002B4FC9"/>
    <w:rsid w:val="002D1AA4"/>
    <w:rsid w:val="002E12E1"/>
    <w:rsid w:val="002E1751"/>
    <w:rsid w:val="002E1839"/>
    <w:rsid w:val="002E1D29"/>
    <w:rsid w:val="002E2103"/>
    <w:rsid w:val="002E2477"/>
    <w:rsid w:val="002E32E1"/>
    <w:rsid w:val="002F1B03"/>
    <w:rsid w:val="002F1E1D"/>
    <w:rsid w:val="00300CA2"/>
    <w:rsid w:val="00306159"/>
    <w:rsid w:val="00307421"/>
    <w:rsid w:val="003223C5"/>
    <w:rsid w:val="00326D72"/>
    <w:rsid w:val="00334B18"/>
    <w:rsid w:val="00341328"/>
    <w:rsid w:val="003429D1"/>
    <w:rsid w:val="0034379F"/>
    <w:rsid w:val="00346B4A"/>
    <w:rsid w:val="00347F79"/>
    <w:rsid w:val="00354C01"/>
    <w:rsid w:val="00357CAD"/>
    <w:rsid w:val="003635A9"/>
    <w:rsid w:val="003644DD"/>
    <w:rsid w:val="00365814"/>
    <w:rsid w:val="00371723"/>
    <w:rsid w:val="003811A0"/>
    <w:rsid w:val="003824F7"/>
    <w:rsid w:val="00382C59"/>
    <w:rsid w:val="00383437"/>
    <w:rsid w:val="00385292"/>
    <w:rsid w:val="00385B83"/>
    <w:rsid w:val="00387B95"/>
    <w:rsid w:val="00391E88"/>
    <w:rsid w:val="003955A8"/>
    <w:rsid w:val="003A1B08"/>
    <w:rsid w:val="003A29D2"/>
    <w:rsid w:val="003A64A4"/>
    <w:rsid w:val="003B346A"/>
    <w:rsid w:val="003B60AD"/>
    <w:rsid w:val="003C0945"/>
    <w:rsid w:val="003C0C7E"/>
    <w:rsid w:val="003C28E6"/>
    <w:rsid w:val="003C6DF3"/>
    <w:rsid w:val="003C7690"/>
    <w:rsid w:val="003D0BCB"/>
    <w:rsid w:val="003D67E9"/>
    <w:rsid w:val="003E0C40"/>
    <w:rsid w:val="003E5E6A"/>
    <w:rsid w:val="003E6086"/>
    <w:rsid w:val="003E72F7"/>
    <w:rsid w:val="00405220"/>
    <w:rsid w:val="0040566D"/>
    <w:rsid w:val="004135C2"/>
    <w:rsid w:val="00420800"/>
    <w:rsid w:val="00426A9B"/>
    <w:rsid w:val="00433A1E"/>
    <w:rsid w:val="00433CBA"/>
    <w:rsid w:val="00437CF5"/>
    <w:rsid w:val="00456D41"/>
    <w:rsid w:val="0046081B"/>
    <w:rsid w:val="0046149C"/>
    <w:rsid w:val="004643D7"/>
    <w:rsid w:val="00464C8A"/>
    <w:rsid w:val="0047067C"/>
    <w:rsid w:val="00470964"/>
    <w:rsid w:val="0047110D"/>
    <w:rsid w:val="00472764"/>
    <w:rsid w:val="004729E4"/>
    <w:rsid w:val="00476CF4"/>
    <w:rsid w:val="00480DF0"/>
    <w:rsid w:val="004834DB"/>
    <w:rsid w:val="00485BF4"/>
    <w:rsid w:val="004870C6"/>
    <w:rsid w:val="0049649A"/>
    <w:rsid w:val="004A4D97"/>
    <w:rsid w:val="004A510A"/>
    <w:rsid w:val="004A53FF"/>
    <w:rsid w:val="004B14ED"/>
    <w:rsid w:val="004B2809"/>
    <w:rsid w:val="004C6429"/>
    <w:rsid w:val="004D564F"/>
    <w:rsid w:val="004E1EDD"/>
    <w:rsid w:val="004E45AC"/>
    <w:rsid w:val="004E5431"/>
    <w:rsid w:val="004F2620"/>
    <w:rsid w:val="004F65D3"/>
    <w:rsid w:val="004F69FE"/>
    <w:rsid w:val="004F79A5"/>
    <w:rsid w:val="00502B6F"/>
    <w:rsid w:val="0050437D"/>
    <w:rsid w:val="00512071"/>
    <w:rsid w:val="00513B1F"/>
    <w:rsid w:val="00514EF6"/>
    <w:rsid w:val="00515A27"/>
    <w:rsid w:val="0053376F"/>
    <w:rsid w:val="005459C6"/>
    <w:rsid w:val="00550F63"/>
    <w:rsid w:val="00552C53"/>
    <w:rsid w:val="00570EB1"/>
    <w:rsid w:val="005739DD"/>
    <w:rsid w:val="005755BD"/>
    <w:rsid w:val="00582903"/>
    <w:rsid w:val="0058743A"/>
    <w:rsid w:val="005A40FD"/>
    <w:rsid w:val="005B16D2"/>
    <w:rsid w:val="005B2F83"/>
    <w:rsid w:val="005B5693"/>
    <w:rsid w:val="005C22B5"/>
    <w:rsid w:val="005C2CBD"/>
    <w:rsid w:val="005C68C0"/>
    <w:rsid w:val="005D77F2"/>
    <w:rsid w:val="005E5FED"/>
    <w:rsid w:val="005E6383"/>
    <w:rsid w:val="005E70E2"/>
    <w:rsid w:val="00603D60"/>
    <w:rsid w:val="006046EF"/>
    <w:rsid w:val="00627480"/>
    <w:rsid w:val="00627AD6"/>
    <w:rsid w:val="00632BF7"/>
    <w:rsid w:val="00634864"/>
    <w:rsid w:val="00636C6F"/>
    <w:rsid w:val="00641414"/>
    <w:rsid w:val="00643FAC"/>
    <w:rsid w:val="00651487"/>
    <w:rsid w:val="006519D5"/>
    <w:rsid w:val="00652993"/>
    <w:rsid w:val="00653AFF"/>
    <w:rsid w:val="0067552B"/>
    <w:rsid w:val="0067581C"/>
    <w:rsid w:val="00684DEA"/>
    <w:rsid w:val="00695EDA"/>
    <w:rsid w:val="006978A5"/>
    <w:rsid w:val="006A1B27"/>
    <w:rsid w:val="006A4F6B"/>
    <w:rsid w:val="006B5139"/>
    <w:rsid w:val="006C1B0F"/>
    <w:rsid w:val="006C3041"/>
    <w:rsid w:val="006D2759"/>
    <w:rsid w:val="006D5E50"/>
    <w:rsid w:val="006E3332"/>
    <w:rsid w:val="006E36BF"/>
    <w:rsid w:val="006E67C7"/>
    <w:rsid w:val="006F059E"/>
    <w:rsid w:val="006F086E"/>
    <w:rsid w:val="006F0A5C"/>
    <w:rsid w:val="006F4376"/>
    <w:rsid w:val="006F5F54"/>
    <w:rsid w:val="00703045"/>
    <w:rsid w:val="00706B69"/>
    <w:rsid w:val="00710442"/>
    <w:rsid w:val="0071374E"/>
    <w:rsid w:val="00713EAB"/>
    <w:rsid w:val="0071464D"/>
    <w:rsid w:val="0071625C"/>
    <w:rsid w:val="007168AE"/>
    <w:rsid w:val="007264AC"/>
    <w:rsid w:val="0073491F"/>
    <w:rsid w:val="007365C3"/>
    <w:rsid w:val="00736A07"/>
    <w:rsid w:val="00741758"/>
    <w:rsid w:val="00742567"/>
    <w:rsid w:val="00746338"/>
    <w:rsid w:val="00747BD4"/>
    <w:rsid w:val="00747D5C"/>
    <w:rsid w:val="00751861"/>
    <w:rsid w:val="007552AB"/>
    <w:rsid w:val="00760524"/>
    <w:rsid w:val="007630BF"/>
    <w:rsid w:val="007672A8"/>
    <w:rsid w:val="007752F4"/>
    <w:rsid w:val="0078594D"/>
    <w:rsid w:val="007A0654"/>
    <w:rsid w:val="007A7479"/>
    <w:rsid w:val="007E0584"/>
    <w:rsid w:val="007E0798"/>
    <w:rsid w:val="007E1DBD"/>
    <w:rsid w:val="007E6D36"/>
    <w:rsid w:val="007F6DFD"/>
    <w:rsid w:val="0080334B"/>
    <w:rsid w:val="008036AF"/>
    <w:rsid w:val="00806220"/>
    <w:rsid w:val="00807053"/>
    <w:rsid w:val="00807A63"/>
    <w:rsid w:val="00811B28"/>
    <w:rsid w:val="00820320"/>
    <w:rsid w:val="00822378"/>
    <w:rsid w:val="008224F4"/>
    <w:rsid w:val="00825404"/>
    <w:rsid w:val="0082734C"/>
    <w:rsid w:val="00832692"/>
    <w:rsid w:val="00834A39"/>
    <w:rsid w:val="00835ABE"/>
    <w:rsid w:val="0083719D"/>
    <w:rsid w:val="0084084C"/>
    <w:rsid w:val="00855380"/>
    <w:rsid w:val="00861460"/>
    <w:rsid w:val="008631E6"/>
    <w:rsid w:val="0087114D"/>
    <w:rsid w:val="008779F4"/>
    <w:rsid w:val="00877E7D"/>
    <w:rsid w:val="008855BC"/>
    <w:rsid w:val="008919FA"/>
    <w:rsid w:val="00894BD6"/>
    <w:rsid w:val="008A2632"/>
    <w:rsid w:val="008A4D96"/>
    <w:rsid w:val="008A6338"/>
    <w:rsid w:val="008A67C4"/>
    <w:rsid w:val="008B08DF"/>
    <w:rsid w:val="008B1E8A"/>
    <w:rsid w:val="008B2E31"/>
    <w:rsid w:val="008B5206"/>
    <w:rsid w:val="008C2E5D"/>
    <w:rsid w:val="008C4641"/>
    <w:rsid w:val="008E0117"/>
    <w:rsid w:val="008E17A1"/>
    <w:rsid w:val="008E753A"/>
    <w:rsid w:val="008F1F75"/>
    <w:rsid w:val="008F4C01"/>
    <w:rsid w:val="008F5BD7"/>
    <w:rsid w:val="00901378"/>
    <w:rsid w:val="00907C14"/>
    <w:rsid w:val="009118BC"/>
    <w:rsid w:val="009140C7"/>
    <w:rsid w:val="00922FAA"/>
    <w:rsid w:val="00923588"/>
    <w:rsid w:val="00924B7D"/>
    <w:rsid w:val="00924B9F"/>
    <w:rsid w:val="009262AF"/>
    <w:rsid w:val="00933A8C"/>
    <w:rsid w:val="00935454"/>
    <w:rsid w:val="00943670"/>
    <w:rsid w:val="00952358"/>
    <w:rsid w:val="0095434C"/>
    <w:rsid w:val="009552A7"/>
    <w:rsid w:val="00967279"/>
    <w:rsid w:val="00974DD5"/>
    <w:rsid w:val="00977EC8"/>
    <w:rsid w:val="009A403E"/>
    <w:rsid w:val="009A7D73"/>
    <w:rsid w:val="009B410B"/>
    <w:rsid w:val="009B66D9"/>
    <w:rsid w:val="009C2B7A"/>
    <w:rsid w:val="009C3720"/>
    <w:rsid w:val="009D413A"/>
    <w:rsid w:val="009D61F7"/>
    <w:rsid w:val="009E0307"/>
    <w:rsid w:val="009E04B8"/>
    <w:rsid w:val="009E727F"/>
    <w:rsid w:val="009F0FDE"/>
    <w:rsid w:val="009F4794"/>
    <w:rsid w:val="009F630A"/>
    <w:rsid w:val="00A01AE6"/>
    <w:rsid w:val="00A02E9C"/>
    <w:rsid w:val="00A24209"/>
    <w:rsid w:val="00A308BC"/>
    <w:rsid w:val="00A32EC1"/>
    <w:rsid w:val="00A51AD3"/>
    <w:rsid w:val="00A6305A"/>
    <w:rsid w:val="00A640A1"/>
    <w:rsid w:val="00A67935"/>
    <w:rsid w:val="00A7017B"/>
    <w:rsid w:val="00A75C39"/>
    <w:rsid w:val="00A7692D"/>
    <w:rsid w:val="00A808AC"/>
    <w:rsid w:val="00A87940"/>
    <w:rsid w:val="00A9583B"/>
    <w:rsid w:val="00A95B80"/>
    <w:rsid w:val="00AA57E0"/>
    <w:rsid w:val="00AB118F"/>
    <w:rsid w:val="00AB3260"/>
    <w:rsid w:val="00AB4607"/>
    <w:rsid w:val="00AB6808"/>
    <w:rsid w:val="00AB7C9F"/>
    <w:rsid w:val="00AC26A0"/>
    <w:rsid w:val="00AC5717"/>
    <w:rsid w:val="00AD1DD0"/>
    <w:rsid w:val="00AD713E"/>
    <w:rsid w:val="00AD7F0B"/>
    <w:rsid w:val="00AE4269"/>
    <w:rsid w:val="00AE45B1"/>
    <w:rsid w:val="00AE5756"/>
    <w:rsid w:val="00AF2C2A"/>
    <w:rsid w:val="00AF5CE3"/>
    <w:rsid w:val="00B05EAD"/>
    <w:rsid w:val="00B05ECF"/>
    <w:rsid w:val="00B0765F"/>
    <w:rsid w:val="00B102DB"/>
    <w:rsid w:val="00B10F10"/>
    <w:rsid w:val="00B11CC7"/>
    <w:rsid w:val="00B1285D"/>
    <w:rsid w:val="00B12C62"/>
    <w:rsid w:val="00B17E49"/>
    <w:rsid w:val="00B23666"/>
    <w:rsid w:val="00B23C36"/>
    <w:rsid w:val="00B247E7"/>
    <w:rsid w:val="00B24F5D"/>
    <w:rsid w:val="00B25C42"/>
    <w:rsid w:val="00B40260"/>
    <w:rsid w:val="00B40F41"/>
    <w:rsid w:val="00B42471"/>
    <w:rsid w:val="00B44B6B"/>
    <w:rsid w:val="00B4582F"/>
    <w:rsid w:val="00B54E4B"/>
    <w:rsid w:val="00B74575"/>
    <w:rsid w:val="00B7557C"/>
    <w:rsid w:val="00B824F7"/>
    <w:rsid w:val="00B87244"/>
    <w:rsid w:val="00B93806"/>
    <w:rsid w:val="00B9508A"/>
    <w:rsid w:val="00B9775A"/>
    <w:rsid w:val="00BA050E"/>
    <w:rsid w:val="00BA3164"/>
    <w:rsid w:val="00BA6220"/>
    <w:rsid w:val="00BA678E"/>
    <w:rsid w:val="00BB216D"/>
    <w:rsid w:val="00BD0EF0"/>
    <w:rsid w:val="00BD5060"/>
    <w:rsid w:val="00BD7881"/>
    <w:rsid w:val="00BE4D13"/>
    <w:rsid w:val="00BF2BAD"/>
    <w:rsid w:val="00BF4AB2"/>
    <w:rsid w:val="00BF4DE8"/>
    <w:rsid w:val="00BF62E7"/>
    <w:rsid w:val="00C02F3B"/>
    <w:rsid w:val="00C04EC4"/>
    <w:rsid w:val="00C177DF"/>
    <w:rsid w:val="00C23BD8"/>
    <w:rsid w:val="00C254DE"/>
    <w:rsid w:val="00C31648"/>
    <w:rsid w:val="00C36C39"/>
    <w:rsid w:val="00C370D8"/>
    <w:rsid w:val="00C44EBC"/>
    <w:rsid w:val="00C47D99"/>
    <w:rsid w:val="00C54E1F"/>
    <w:rsid w:val="00C62635"/>
    <w:rsid w:val="00C62924"/>
    <w:rsid w:val="00C64AC1"/>
    <w:rsid w:val="00C6646F"/>
    <w:rsid w:val="00C6696F"/>
    <w:rsid w:val="00C744F4"/>
    <w:rsid w:val="00C772B7"/>
    <w:rsid w:val="00C8409E"/>
    <w:rsid w:val="00C85E98"/>
    <w:rsid w:val="00C93123"/>
    <w:rsid w:val="00C94485"/>
    <w:rsid w:val="00C94CBA"/>
    <w:rsid w:val="00CA019B"/>
    <w:rsid w:val="00CA28A1"/>
    <w:rsid w:val="00CA6B36"/>
    <w:rsid w:val="00CA798A"/>
    <w:rsid w:val="00CB1DCF"/>
    <w:rsid w:val="00CB2EEA"/>
    <w:rsid w:val="00CB381B"/>
    <w:rsid w:val="00CB39CF"/>
    <w:rsid w:val="00CC3869"/>
    <w:rsid w:val="00CD15B6"/>
    <w:rsid w:val="00CD6AC7"/>
    <w:rsid w:val="00CE1531"/>
    <w:rsid w:val="00CE2E8D"/>
    <w:rsid w:val="00CE38E7"/>
    <w:rsid w:val="00CE5875"/>
    <w:rsid w:val="00CF14D7"/>
    <w:rsid w:val="00CF2D9C"/>
    <w:rsid w:val="00D067E4"/>
    <w:rsid w:val="00D0724D"/>
    <w:rsid w:val="00D17DEB"/>
    <w:rsid w:val="00D402E0"/>
    <w:rsid w:val="00D40EAE"/>
    <w:rsid w:val="00D45622"/>
    <w:rsid w:val="00D536E2"/>
    <w:rsid w:val="00D551BC"/>
    <w:rsid w:val="00D551C0"/>
    <w:rsid w:val="00D55A0B"/>
    <w:rsid w:val="00D8264F"/>
    <w:rsid w:val="00D9193A"/>
    <w:rsid w:val="00D979A2"/>
    <w:rsid w:val="00DA0B40"/>
    <w:rsid w:val="00DA0F6A"/>
    <w:rsid w:val="00DA375E"/>
    <w:rsid w:val="00DA6A91"/>
    <w:rsid w:val="00DD100A"/>
    <w:rsid w:val="00DD38E9"/>
    <w:rsid w:val="00DD7C70"/>
    <w:rsid w:val="00DE3C95"/>
    <w:rsid w:val="00DE7E67"/>
    <w:rsid w:val="00DF3EF1"/>
    <w:rsid w:val="00E07E1D"/>
    <w:rsid w:val="00E1160C"/>
    <w:rsid w:val="00E1574E"/>
    <w:rsid w:val="00E15818"/>
    <w:rsid w:val="00E173AB"/>
    <w:rsid w:val="00E242A3"/>
    <w:rsid w:val="00E336A7"/>
    <w:rsid w:val="00E35C2C"/>
    <w:rsid w:val="00E44DE2"/>
    <w:rsid w:val="00E47A76"/>
    <w:rsid w:val="00E53957"/>
    <w:rsid w:val="00E54361"/>
    <w:rsid w:val="00E56178"/>
    <w:rsid w:val="00E56360"/>
    <w:rsid w:val="00E600A6"/>
    <w:rsid w:val="00E71FA8"/>
    <w:rsid w:val="00E72CD4"/>
    <w:rsid w:val="00E72DAA"/>
    <w:rsid w:val="00E77054"/>
    <w:rsid w:val="00E77B2C"/>
    <w:rsid w:val="00E80752"/>
    <w:rsid w:val="00E8473F"/>
    <w:rsid w:val="00E92D69"/>
    <w:rsid w:val="00E936DD"/>
    <w:rsid w:val="00EA2A50"/>
    <w:rsid w:val="00EA5B08"/>
    <w:rsid w:val="00EA7748"/>
    <w:rsid w:val="00EB0A91"/>
    <w:rsid w:val="00EB0B71"/>
    <w:rsid w:val="00EB4420"/>
    <w:rsid w:val="00EB6613"/>
    <w:rsid w:val="00EC188A"/>
    <w:rsid w:val="00EC3807"/>
    <w:rsid w:val="00ED031F"/>
    <w:rsid w:val="00ED0DDE"/>
    <w:rsid w:val="00ED185C"/>
    <w:rsid w:val="00ED581F"/>
    <w:rsid w:val="00ED7468"/>
    <w:rsid w:val="00EE065B"/>
    <w:rsid w:val="00EE4877"/>
    <w:rsid w:val="00EE5304"/>
    <w:rsid w:val="00EF40FE"/>
    <w:rsid w:val="00EF675C"/>
    <w:rsid w:val="00F12F1A"/>
    <w:rsid w:val="00F175DD"/>
    <w:rsid w:val="00F25544"/>
    <w:rsid w:val="00F278C1"/>
    <w:rsid w:val="00F40BD7"/>
    <w:rsid w:val="00F43327"/>
    <w:rsid w:val="00F44052"/>
    <w:rsid w:val="00F46447"/>
    <w:rsid w:val="00F479FD"/>
    <w:rsid w:val="00F51BE6"/>
    <w:rsid w:val="00F537EF"/>
    <w:rsid w:val="00F5418B"/>
    <w:rsid w:val="00F616E6"/>
    <w:rsid w:val="00F62160"/>
    <w:rsid w:val="00F639D8"/>
    <w:rsid w:val="00F72D66"/>
    <w:rsid w:val="00F74DB0"/>
    <w:rsid w:val="00F846BE"/>
    <w:rsid w:val="00F8747F"/>
    <w:rsid w:val="00FA2908"/>
    <w:rsid w:val="00FB1E4F"/>
    <w:rsid w:val="00FB27F2"/>
    <w:rsid w:val="00FB4426"/>
    <w:rsid w:val="00FC0343"/>
    <w:rsid w:val="00FC0D00"/>
    <w:rsid w:val="00FC38BF"/>
    <w:rsid w:val="00FD1E20"/>
    <w:rsid w:val="00FD4FF3"/>
    <w:rsid w:val="00FE6507"/>
    <w:rsid w:val="00FF2594"/>
    <w:rsid w:val="00FF274F"/>
    <w:rsid w:val="00FF6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0E8EC0C"/>
  <w15:docId w15:val="{A8E05C98-14BD-436E-BC23-09FE999A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3E"/>
  </w:style>
  <w:style w:type="paragraph" w:styleId="Heading1">
    <w:name w:val="heading 1"/>
    <w:basedOn w:val="Normal"/>
    <w:next w:val="Normal"/>
    <w:link w:val="Heading1Char"/>
    <w:uiPriority w:val="9"/>
    <w:qFormat/>
    <w:rsid w:val="004B28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36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B25C42"/>
    <w:pPr>
      <w:widowControl w:val="0"/>
      <w:autoSpaceDE w:val="0"/>
      <w:autoSpaceDN w:val="0"/>
      <w:spacing w:after="0" w:line="240" w:lineRule="auto"/>
      <w:ind w:left="1794"/>
      <w:outlineLvl w:val="2"/>
    </w:pPr>
    <w:rPr>
      <w:rFonts w:ascii="Trebuchet MS" w:eastAsia="Trebuchet MS" w:hAnsi="Trebuchet MS" w:cs="Trebuchet MS"/>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404"/>
    <w:pPr>
      <w:ind w:left="720"/>
      <w:contextualSpacing/>
    </w:pPr>
  </w:style>
  <w:style w:type="character" w:customStyle="1" w:styleId="Heading3Char">
    <w:name w:val="Heading 3 Char"/>
    <w:basedOn w:val="DefaultParagraphFont"/>
    <w:link w:val="Heading3"/>
    <w:uiPriority w:val="1"/>
    <w:rsid w:val="00B25C42"/>
    <w:rPr>
      <w:rFonts w:ascii="Trebuchet MS" w:eastAsia="Trebuchet MS" w:hAnsi="Trebuchet MS" w:cs="Trebuchet MS"/>
      <w:b/>
      <w:bCs/>
      <w:sz w:val="28"/>
      <w:szCs w:val="28"/>
      <w:lang w:val="en-US"/>
    </w:rPr>
  </w:style>
  <w:style w:type="paragraph" w:styleId="Header">
    <w:name w:val="header"/>
    <w:basedOn w:val="Normal"/>
    <w:link w:val="HeaderChar"/>
    <w:uiPriority w:val="99"/>
    <w:unhideWhenUsed/>
    <w:rsid w:val="00AE4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5B1"/>
  </w:style>
  <w:style w:type="paragraph" w:styleId="Footer">
    <w:name w:val="footer"/>
    <w:basedOn w:val="Normal"/>
    <w:link w:val="FooterChar"/>
    <w:uiPriority w:val="99"/>
    <w:unhideWhenUsed/>
    <w:rsid w:val="00AE4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5B1"/>
  </w:style>
  <w:style w:type="paragraph" w:styleId="BalloonText">
    <w:name w:val="Balloon Text"/>
    <w:basedOn w:val="Normal"/>
    <w:link w:val="BalloonTextChar"/>
    <w:uiPriority w:val="99"/>
    <w:semiHidden/>
    <w:unhideWhenUsed/>
    <w:rsid w:val="00AE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5B1"/>
    <w:rPr>
      <w:rFonts w:ascii="Tahoma" w:hAnsi="Tahoma" w:cs="Tahoma"/>
      <w:sz w:val="16"/>
      <w:szCs w:val="16"/>
    </w:rPr>
  </w:style>
  <w:style w:type="character" w:customStyle="1" w:styleId="Heading1Char">
    <w:name w:val="Heading 1 Char"/>
    <w:basedOn w:val="DefaultParagraphFont"/>
    <w:link w:val="Heading1"/>
    <w:uiPriority w:val="9"/>
    <w:rsid w:val="004B280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3719D"/>
    <w:rPr>
      <w:color w:val="0000FF"/>
      <w:u w:val="single"/>
    </w:rPr>
  </w:style>
  <w:style w:type="paragraph" w:styleId="FootnoteText">
    <w:name w:val="footnote text"/>
    <w:basedOn w:val="Normal"/>
    <w:link w:val="FootnoteTextChar"/>
    <w:uiPriority w:val="99"/>
    <w:semiHidden/>
    <w:unhideWhenUsed/>
    <w:rsid w:val="008371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19D"/>
    <w:rPr>
      <w:sz w:val="20"/>
      <w:szCs w:val="20"/>
    </w:rPr>
  </w:style>
  <w:style w:type="character" w:styleId="FootnoteReference">
    <w:name w:val="footnote reference"/>
    <w:basedOn w:val="DefaultParagraphFont"/>
    <w:uiPriority w:val="99"/>
    <w:semiHidden/>
    <w:unhideWhenUsed/>
    <w:rsid w:val="0083719D"/>
    <w:rPr>
      <w:vertAlign w:val="superscript"/>
    </w:rPr>
  </w:style>
  <w:style w:type="character" w:styleId="FollowedHyperlink">
    <w:name w:val="FollowedHyperlink"/>
    <w:basedOn w:val="DefaultParagraphFont"/>
    <w:uiPriority w:val="99"/>
    <w:semiHidden/>
    <w:unhideWhenUsed/>
    <w:rsid w:val="00A95B80"/>
    <w:rPr>
      <w:color w:val="800080" w:themeColor="followedHyperlink"/>
      <w:u w:val="single"/>
    </w:rPr>
  </w:style>
  <w:style w:type="paragraph" w:styleId="NormalWeb">
    <w:name w:val="Normal (Web)"/>
    <w:basedOn w:val="Normal"/>
    <w:uiPriority w:val="99"/>
    <w:unhideWhenUsed/>
    <w:rsid w:val="007264AC"/>
    <w:pPr>
      <w:spacing w:before="100" w:beforeAutospacing="1" w:after="225"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CE5875"/>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CE5875"/>
    <w:rPr>
      <w:rFonts w:ascii="Arial" w:eastAsia="Arial" w:hAnsi="Arial" w:cs="Arial"/>
      <w:lang w:eastAsia="en-GB" w:bidi="en-GB"/>
    </w:rPr>
  </w:style>
  <w:style w:type="paragraph" w:customStyle="1" w:styleId="TableParagraph">
    <w:name w:val="Table Paragraph"/>
    <w:basedOn w:val="Normal"/>
    <w:uiPriority w:val="1"/>
    <w:qFormat/>
    <w:rsid w:val="00CE5875"/>
    <w:pPr>
      <w:widowControl w:val="0"/>
      <w:autoSpaceDE w:val="0"/>
      <w:autoSpaceDN w:val="0"/>
      <w:spacing w:after="0" w:line="250" w:lineRule="exact"/>
      <w:ind w:left="108"/>
    </w:pPr>
    <w:rPr>
      <w:rFonts w:ascii="Arial" w:eastAsia="Arial" w:hAnsi="Arial" w:cs="Arial"/>
      <w:lang w:eastAsia="en-GB" w:bidi="en-GB"/>
    </w:rPr>
  </w:style>
  <w:style w:type="character" w:styleId="CommentReference">
    <w:name w:val="annotation reference"/>
    <w:basedOn w:val="DefaultParagraphFont"/>
    <w:uiPriority w:val="99"/>
    <w:semiHidden/>
    <w:unhideWhenUsed/>
    <w:rsid w:val="00811B28"/>
    <w:rPr>
      <w:sz w:val="16"/>
      <w:szCs w:val="16"/>
    </w:rPr>
  </w:style>
  <w:style w:type="paragraph" w:styleId="CommentText">
    <w:name w:val="annotation text"/>
    <w:basedOn w:val="Normal"/>
    <w:link w:val="CommentTextChar"/>
    <w:uiPriority w:val="99"/>
    <w:semiHidden/>
    <w:unhideWhenUsed/>
    <w:rsid w:val="00811B28"/>
    <w:pPr>
      <w:spacing w:line="240" w:lineRule="auto"/>
    </w:pPr>
    <w:rPr>
      <w:sz w:val="20"/>
      <w:szCs w:val="20"/>
    </w:rPr>
  </w:style>
  <w:style w:type="character" w:customStyle="1" w:styleId="CommentTextChar">
    <w:name w:val="Comment Text Char"/>
    <w:basedOn w:val="DefaultParagraphFont"/>
    <w:link w:val="CommentText"/>
    <w:uiPriority w:val="99"/>
    <w:semiHidden/>
    <w:rsid w:val="00811B28"/>
    <w:rPr>
      <w:sz w:val="20"/>
      <w:szCs w:val="20"/>
    </w:rPr>
  </w:style>
  <w:style w:type="paragraph" w:styleId="CommentSubject">
    <w:name w:val="annotation subject"/>
    <w:basedOn w:val="CommentText"/>
    <w:next w:val="CommentText"/>
    <w:link w:val="CommentSubjectChar"/>
    <w:uiPriority w:val="99"/>
    <w:semiHidden/>
    <w:unhideWhenUsed/>
    <w:rsid w:val="00811B28"/>
    <w:rPr>
      <w:b/>
      <w:bCs/>
    </w:rPr>
  </w:style>
  <w:style w:type="character" w:customStyle="1" w:styleId="CommentSubjectChar">
    <w:name w:val="Comment Subject Char"/>
    <w:basedOn w:val="CommentTextChar"/>
    <w:link w:val="CommentSubject"/>
    <w:uiPriority w:val="99"/>
    <w:semiHidden/>
    <w:rsid w:val="00811B28"/>
    <w:rPr>
      <w:b/>
      <w:bCs/>
      <w:sz w:val="20"/>
      <w:szCs w:val="20"/>
    </w:rPr>
  </w:style>
  <w:style w:type="paragraph" w:styleId="PlainText">
    <w:name w:val="Plain Text"/>
    <w:basedOn w:val="Normal"/>
    <w:link w:val="PlainTextChar"/>
    <w:uiPriority w:val="99"/>
    <w:semiHidden/>
    <w:unhideWhenUsed/>
    <w:rsid w:val="00E47A76"/>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47A76"/>
    <w:rPr>
      <w:rFonts w:ascii="Calibri" w:hAnsi="Calibri" w:cs="Calibri"/>
    </w:rPr>
  </w:style>
  <w:style w:type="character" w:customStyle="1" w:styleId="Heading2Char">
    <w:name w:val="Heading 2 Char"/>
    <w:basedOn w:val="DefaultParagraphFont"/>
    <w:link w:val="Heading2"/>
    <w:uiPriority w:val="9"/>
    <w:rsid w:val="00E336A7"/>
    <w:rPr>
      <w:rFonts w:asciiTheme="majorHAnsi" w:eastAsiaTheme="majorEastAsia" w:hAnsiTheme="majorHAnsi" w:cstheme="majorBidi"/>
      <w:color w:val="365F91" w:themeColor="accent1" w:themeShade="BF"/>
      <w:sz w:val="26"/>
      <w:szCs w:val="26"/>
    </w:rPr>
  </w:style>
  <w:style w:type="table" w:customStyle="1" w:styleId="TableGrid19">
    <w:name w:val="Table Grid19"/>
    <w:basedOn w:val="TableNormal"/>
    <w:next w:val="TableGrid"/>
    <w:uiPriority w:val="59"/>
    <w:rsid w:val="006F4376"/>
    <w:pPr>
      <w:spacing w:after="0" w:line="240" w:lineRule="auto"/>
      <w:ind w:firstLine="357"/>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F4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05">
      <w:bodyDiv w:val="1"/>
      <w:marLeft w:val="0"/>
      <w:marRight w:val="0"/>
      <w:marTop w:val="0"/>
      <w:marBottom w:val="0"/>
      <w:divBdr>
        <w:top w:val="none" w:sz="0" w:space="0" w:color="auto"/>
        <w:left w:val="none" w:sz="0" w:space="0" w:color="auto"/>
        <w:bottom w:val="none" w:sz="0" w:space="0" w:color="auto"/>
        <w:right w:val="none" w:sz="0" w:space="0" w:color="auto"/>
      </w:divBdr>
    </w:div>
    <w:div w:id="3867589">
      <w:bodyDiv w:val="1"/>
      <w:marLeft w:val="0"/>
      <w:marRight w:val="0"/>
      <w:marTop w:val="0"/>
      <w:marBottom w:val="0"/>
      <w:divBdr>
        <w:top w:val="none" w:sz="0" w:space="0" w:color="auto"/>
        <w:left w:val="none" w:sz="0" w:space="0" w:color="auto"/>
        <w:bottom w:val="none" w:sz="0" w:space="0" w:color="auto"/>
        <w:right w:val="none" w:sz="0" w:space="0" w:color="auto"/>
      </w:divBdr>
    </w:div>
    <w:div w:id="12614242">
      <w:bodyDiv w:val="1"/>
      <w:marLeft w:val="0"/>
      <w:marRight w:val="0"/>
      <w:marTop w:val="0"/>
      <w:marBottom w:val="0"/>
      <w:divBdr>
        <w:top w:val="none" w:sz="0" w:space="0" w:color="auto"/>
        <w:left w:val="none" w:sz="0" w:space="0" w:color="auto"/>
        <w:bottom w:val="none" w:sz="0" w:space="0" w:color="auto"/>
        <w:right w:val="none" w:sz="0" w:space="0" w:color="auto"/>
      </w:divBdr>
    </w:div>
    <w:div w:id="13458659">
      <w:bodyDiv w:val="1"/>
      <w:marLeft w:val="0"/>
      <w:marRight w:val="0"/>
      <w:marTop w:val="0"/>
      <w:marBottom w:val="0"/>
      <w:divBdr>
        <w:top w:val="none" w:sz="0" w:space="0" w:color="auto"/>
        <w:left w:val="none" w:sz="0" w:space="0" w:color="auto"/>
        <w:bottom w:val="none" w:sz="0" w:space="0" w:color="auto"/>
        <w:right w:val="none" w:sz="0" w:space="0" w:color="auto"/>
      </w:divBdr>
    </w:div>
    <w:div w:id="14045731">
      <w:bodyDiv w:val="1"/>
      <w:marLeft w:val="0"/>
      <w:marRight w:val="0"/>
      <w:marTop w:val="0"/>
      <w:marBottom w:val="0"/>
      <w:divBdr>
        <w:top w:val="none" w:sz="0" w:space="0" w:color="auto"/>
        <w:left w:val="none" w:sz="0" w:space="0" w:color="auto"/>
        <w:bottom w:val="none" w:sz="0" w:space="0" w:color="auto"/>
        <w:right w:val="none" w:sz="0" w:space="0" w:color="auto"/>
      </w:divBdr>
    </w:div>
    <w:div w:id="21635320">
      <w:bodyDiv w:val="1"/>
      <w:marLeft w:val="0"/>
      <w:marRight w:val="0"/>
      <w:marTop w:val="0"/>
      <w:marBottom w:val="0"/>
      <w:divBdr>
        <w:top w:val="none" w:sz="0" w:space="0" w:color="auto"/>
        <w:left w:val="none" w:sz="0" w:space="0" w:color="auto"/>
        <w:bottom w:val="none" w:sz="0" w:space="0" w:color="auto"/>
        <w:right w:val="none" w:sz="0" w:space="0" w:color="auto"/>
      </w:divBdr>
    </w:div>
    <w:div w:id="22024124">
      <w:bodyDiv w:val="1"/>
      <w:marLeft w:val="0"/>
      <w:marRight w:val="0"/>
      <w:marTop w:val="0"/>
      <w:marBottom w:val="0"/>
      <w:divBdr>
        <w:top w:val="none" w:sz="0" w:space="0" w:color="auto"/>
        <w:left w:val="none" w:sz="0" w:space="0" w:color="auto"/>
        <w:bottom w:val="none" w:sz="0" w:space="0" w:color="auto"/>
        <w:right w:val="none" w:sz="0" w:space="0" w:color="auto"/>
      </w:divBdr>
    </w:div>
    <w:div w:id="35013144">
      <w:bodyDiv w:val="1"/>
      <w:marLeft w:val="0"/>
      <w:marRight w:val="0"/>
      <w:marTop w:val="0"/>
      <w:marBottom w:val="0"/>
      <w:divBdr>
        <w:top w:val="none" w:sz="0" w:space="0" w:color="auto"/>
        <w:left w:val="none" w:sz="0" w:space="0" w:color="auto"/>
        <w:bottom w:val="none" w:sz="0" w:space="0" w:color="auto"/>
        <w:right w:val="none" w:sz="0" w:space="0" w:color="auto"/>
      </w:divBdr>
    </w:div>
    <w:div w:id="35202947">
      <w:bodyDiv w:val="1"/>
      <w:marLeft w:val="0"/>
      <w:marRight w:val="0"/>
      <w:marTop w:val="0"/>
      <w:marBottom w:val="0"/>
      <w:divBdr>
        <w:top w:val="none" w:sz="0" w:space="0" w:color="auto"/>
        <w:left w:val="none" w:sz="0" w:space="0" w:color="auto"/>
        <w:bottom w:val="none" w:sz="0" w:space="0" w:color="auto"/>
        <w:right w:val="none" w:sz="0" w:space="0" w:color="auto"/>
      </w:divBdr>
    </w:div>
    <w:div w:id="36203589">
      <w:bodyDiv w:val="1"/>
      <w:marLeft w:val="0"/>
      <w:marRight w:val="0"/>
      <w:marTop w:val="0"/>
      <w:marBottom w:val="0"/>
      <w:divBdr>
        <w:top w:val="none" w:sz="0" w:space="0" w:color="auto"/>
        <w:left w:val="none" w:sz="0" w:space="0" w:color="auto"/>
        <w:bottom w:val="none" w:sz="0" w:space="0" w:color="auto"/>
        <w:right w:val="none" w:sz="0" w:space="0" w:color="auto"/>
      </w:divBdr>
    </w:div>
    <w:div w:id="53896548">
      <w:bodyDiv w:val="1"/>
      <w:marLeft w:val="0"/>
      <w:marRight w:val="0"/>
      <w:marTop w:val="0"/>
      <w:marBottom w:val="0"/>
      <w:divBdr>
        <w:top w:val="none" w:sz="0" w:space="0" w:color="auto"/>
        <w:left w:val="none" w:sz="0" w:space="0" w:color="auto"/>
        <w:bottom w:val="none" w:sz="0" w:space="0" w:color="auto"/>
        <w:right w:val="none" w:sz="0" w:space="0" w:color="auto"/>
      </w:divBdr>
    </w:div>
    <w:div w:id="57829303">
      <w:bodyDiv w:val="1"/>
      <w:marLeft w:val="0"/>
      <w:marRight w:val="0"/>
      <w:marTop w:val="0"/>
      <w:marBottom w:val="0"/>
      <w:divBdr>
        <w:top w:val="none" w:sz="0" w:space="0" w:color="auto"/>
        <w:left w:val="none" w:sz="0" w:space="0" w:color="auto"/>
        <w:bottom w:val="none" w:sz="0" w:space="0" w:color="auto"/>
        <w:right w:val="none" w:sz="0" w:space="0" w:color="auto"/>
      </w:divBdr>
    </w:div>
    <w:div w:id="64646663">
      <w:bodyDiv w:val="1"/>
      <w:marLeft w:val="0"/>
      <w:marRight w:val="0"/>
      <w:marTop w:val="0"/>
      <w:marBottom w:val="0"/>
      <w:divBdr>
        <w:top w:val="none" w:sz="0" w:space="0" w:color="auto"/>
        <w:left w:val="none" w:sz="0" w:space="0" w:color="auto"/>
        <w:bottom w:val="none" w:sz="0" w:space="0" w:color="auto"/>
        <w:right w:val="none" w:sz="0" w:space="0" w:color="auto"/>
      </w:divBdr>
    </w:div>
    <w:div w:id="92871402">
      <w:bodyDiv w:val="1"/>
      <w:marLeft w:val="0"/>
      <w:marRight w:val="0"/>
      <w:marTop w:val="0"/>
      <w:marBottom w:val="0"/>
      <w:divBdr>
        <w:top w:val="none" w:sz="0" w:space="0" w:color="auto"/>
        <w:left w:val="none" w:sz="0" w:space="0" w:color="auto"/>
        <w:bottom w:val="none" w:sz="0" w:space="0" w:color="auto"/>
        <w:right w:val="none" w:sz="0" w:space="0" w:color="auto"/>
      </w:divBdr>
    </w:div>
    <w:div w:id="129058053">
      <w:bodyDiv w:val="1"/>
      <w:marLeft w:val="0"/>
      <w:marRight w:val="0"/>
      <w:marTop w:val="0"/>
      <w:marBottom w:val="0"/>
      <w:divBdr>
        <w:top w:val="none" w:sz="0" w:space="0" w:color="auto"/>
        <w:left w:val="none" w:sz="0" w:space="0" w:color="auto"/>
        <w:bottom w:val="none" w:sz="0" w:space="0" w:color="auto"/>
        <w:right w:val="none" w:sz="0" w:space="0" w:color="auto"/>
      </w:divBdr>
    </w:div>
    <w:div w:id="130556382">
      <w:bodyDiv w:val="1"/>
      <w:marLeft w:val="0"/>
      <w:marRight w:val="0"/>
      <w:marTop w:val="0"/>
      <w:marBottom w:val="0"/>
      <w:divBdr>
        <w:top w:val="none" w:sz="0" w:space="0" w:color="auto"/>
        <w:left w:val="none" w:sz="0" w:space="0" w:color="auto"/>
        <w:bottom w:val="none" w:sz="0" w:space="0" w:color="auto"/>
        <w:right w:val="none" w:sz="0" w:space="0" w:color="auto"/>
      </w:divBdr>
    </w:div>
    <w:div w:id="133300635">
      <w:bodyDiv w:val="1"/>
      <w:marLeft w:val="0"/>
      <w:marRight w:val="0"/>
      <w:marTop w:val="0"/>
      <w:marBottom w:val="0"/>
      <w:divBdr>
        <w:top w:val="none" w:sz="0" w:space="0" w:color="auto"/>
        <w:left w:val="none" w:sz="0" w:space="0" w:color="auto"/>
        <w:bottom w:val="none" w:sz="0" w:space="0" w:color="auto"/>
        <w:right w:val="none" w:sz="0" w:space="0" w:color="auto"/>
      </w:divBdr>
    </w:div>
    <w:div w:id="159125101">
      <w:bodyDiv w:val="1"/>
      <w:marLeft w:val="0"/>
      <w:marRight w:val="0"/>
      <w:marTop w:val="0"/>
      <w:marBottom w:val="0"/>
      <w:divBdr>
        <w:top w:val="none" w:sz="0" w:space="0" w:color="auto"/>
        <w:left w:val="none" w:sz="0" w:space="0" w:color="auto"/>
        <w:bottom w:val="none" w:sz="0" w:space="0" w:color="auto"/>
        <w:right w:val="none" w:sz="0" w:space="0" w:color="auto"/>
      </w:divBdr>
    </w:div>
    <w:div w:id="174617526">
      <w:bodyDiv w:val="1"/>
      <w:marLeft w:val="0"/>
      <w:marRight w:val="0"/>
      <w:marTop w:val="0"/>
      <w:marBottom w:val="0"/>
      <w:divBdr>
        <w:top w:val="none" w:sz="0" w:space="0" w:color="auto"/>
        <w:left w:val="none" w:sz="0" w:space="0" w:color="auto"/>
        <w:bottom w:val="none" w:sz="0" w:space="0" w:color="auto"/>
        <w:right w:val="none" w:sz="0" w:space="0" w:color="auto"/>
      </w:divBdr>
    </w:div>
    <w:div w:id="177699349">
      <w:bodyDiv w:val="1"/>
      <w:marLeft w:val="0"/>
      <w:marRight w:val="0"/>
      <w:marTop w:val="0"/>
      <w:marBottom w:val="0"/>
      <w:divBdr>
        <w:top w:val="none" w:sz="0" w:space="0" w:color="auto"/>
        <w:left w:val="none" w:sz="0" w:space="0" w:color="auto"/>
        <w:bottom w:val="none" w:sz="0" w:space="0" w:color="auto"/>
        <w:right w:val="none" w:sz="0" w:space="0" w:color="auto"/>
      </w:divBdr>
    </w:div>
    <w:div w:id="179399147">
      <w:bodyDiv w:val="1"/>
      <w:marLeft w:val="0"/>
      <w:marRight w:val="0"/>
      <w:marTop w:val="0"/>
      <w:marBottom w:val="0"/>
      <w:divBdr>
        <w:top w:val="none" w:sz="0" w:space="0" w:color="auto"/>
        <w:left w:val="none" w:sz="0" w:space="0" w:color="auto"/>
        <w:bottom w:val="none" w:sz="0" w:space="0" w:color="auto"/>
        <w:right w:val="none" w:sz="0" w:space="0" w:color="auto"/>
      </w:divBdr>
    </w:div>
    <w:div w:id="179975278">
      <w:bodyDiv w:val="1"/>
      <w:marLeft w:val="0"/>
      <w:marRight w:val="0"/>
      <w:marTop w:val="0"/>
      <w:marBottom w:val="0"/>
      <w:divBdr>
        <w:top w:val="none" w:sz="0" w:space="0" w:color="auto"/>
        <w:left w:val="none" w:sz="0" w:space="0" w:color="auto"/>
        <w:bottom w:val="none" w:sz="0" w:space="0" w:color="auto"/>
        <w:right w:val="none" w:sz="0" w:space="0" w:color="auto"/>
      </w:divBdr>
    </w:div>
    <w:div w:id="187573567">
      <w:bodyDiv w:val="1"/>
      <w:marLeft w:val="0"/>
      <w:marRight w:val="0"/>
      <w:marTop w:val="0"/>
      <w:marBottom w:val="0"/>
      <w:divBdr>
        <w:top w:val="none" w:sz="0" w:space="0" w:color="auto"/>
        <w:left w:val="none" w:sz="0" w:space="0" w:color="auto"/>
        <w:bottom w:val="none" w:sz="0" w:space="0" w:color="auto"/>
        <w:right w:val="none" w:sz="0" w:space="0" w:color="auto"/>
      </w:divBdr>
    </w:div>
    <w:div w:id="205606015">
      <w:bodyDiv w:val="1"/>
      <w:marLeft w:val="0"/>
      <w:marRight w:val="0"/>
      <w:marTop w:val="0"/>
      <w:marBottom w:val="0"/>
      <w:divBdr>
        <w:top w:val="none" w:sz="0" w:space="0" w:color="auto"/>
        <w:left w:val="none" w:sz="0" w:space="0" w:color="auto"/>
        <w:bottom w:val="none" w:sz="0" w:space="0" w:color="auto"/>
        <w:right w:val="none" w:sz="0" w:space="0" w:color="auto"/>
      </w:divBdr>
    </w:div>
    <w:div w:id="228266873">
      <w:bodyDiv w:val="1"/>
      <w:marLeft w:val="0"/>
      <w:marRight w:val="0"/>
      <w:marTop w:val="0"/>
      <w:marBottom w:val="0"/>
      <w:divBdr>
        <w:top w:val="none" w:sz="0" w:space="0" w:color="auto"/>
        <w:left w:val="none" w:sz="0" w:space="0" w:color="auto"/>
        <w:bottom w:val="none" w:sz="0" w:space="0" w:color="auto"/>
        <w:right w:val="none" w:sz="0" w:space="0" w:color="auto"/>
      </w:divBdr>
    </w:div>
    <w:div w:id="278876938">
      <w:bodyDiv w:val="1"/>
      <w:marLeft w:val="0"/>
      <w:marRight w:val="0"/>
      <w:marTop w:val="0"/>
      <w:marBottom w:val="0"/>
      <w:divBdr>
        <w:top w:val="none" w:sz="0" w:space="0" w:color="auto"/>
        <w:left w:val="none" w:sz="0" w:space="0" w:color="auto"/>
        <w:bottom w:val="none" w:sz="0" w:space="0" w:color="auto"/>
        <w:right w:val="none" w:sz="0" w:space="0" w:color="auto"/>
      </w:divBdr>
    </w:div>
    <w:div w:id="279341319">
      <w:bodyDiv w:val="1"/>
      <w:marLeft w:val="0"/>
      <w:marRight w:val="0"/>
      <w:marTop w:val="0"/>
      <w:marBottom w:val="0"/>
      <w:divBdr>
        <w:top w:val="none" w:sz="0" w:space="0" w:color="auto"/>
        <w:left w:val="none" w:sz="0" w:space="0" w:color="auto"/>
        <w:bottom w:val="none" w:sz="0" w:space="0" w:color="auto"/>
        <w:right w:val="none" w:sz="0" w:space="0" w:color="auto"/>
      </w:divBdr>
    </w:div>
    <w:div w:id="295264192">
      <w:bodyDiv w:val="1"/>
      <w:marLeft w:val="0"/>
      <w:marRight w:val="0"/>
      <w:marTop w:val="0"/>
      <w:marBottom w:val="0"/>
      <w:divBdr>
        <w:top w:val="none" w:sz="0" w:space="0" w:color="auto"/>
        <w:left w:val="none" w:sz="0" w:space="0" w:color="auto"/>
        <w:bottom w:val="none" w:sz="0" w:space="0" w:color="auto"/>
        <w:right w:val="none" w:sz="0" w:space="0" w:color="auto"/>
      </w:divBdr>
    </w:div>
    <w:div w:id="300035863">
      <w:bodyDiv w:val="1"/>
      <w:marLeft w:val="0"/>
      <w:marRight w:val="0"/>
      <w:marTop w:val="0"/>
      <w:marBottom w:val="0"/>
      <w:divBdr>
        <w:top w:val="none" w:sz="0" w:space="0" w:color="auto"/>
        <w:left w:val="none" w:sz="0" w:space="0" w:color="auto"/>
        <w:bottom w:val="none" w:sz="0" w:space="0" w:color="auto"/>
        <w:right w:val="none" w:sz="0" w:space="0" w:color="auto"/>
      </w:divBdr>
    </w:div>
    <w:div w:id="313724739">
      <w:bodyDiv w:val="1"/>
      <w:marLeft w:val="0"/>
      <w:marRight w:val="0"/>
      <w:marTop w:val="0"/>
      <w:marBottom w:val="0"/>
      <w:divBdr>
        <w:top w:val="none" w:sz="0" w:space="0" w:color="auto"/>
        <w:left w:val="none" w:sz="0" w:space="0" w:color="auto"/>
        <w:bottom w:val="none" w:sz="0" w:space="0" w:color="auto"/>
        <w:right w:val="none" w:sz="0" w:space="0" w:color="auto"/>
      </w:divBdr>
    </w:div>
    <w:div w:id="314451737">
      <w:bodyDiv w:val="1"/>
      <w:marLeft w:val="0"/>
      <w:marRight w:val="0"/>
      <w:marTop w:val="0"/>
      <w:marBottom w:val="0"/>
      <w:divBdr>
        <w:top w:val="none" w:sz="0" w:space="0" w:color="auto"/>
        <w:left w:val="none" w:sz="0" w:space="0" w:color="auto"/>
        <w:bottom w:val="none" w:sz="0" w:space="0" w:color="auto"/>
        <w:right w:val="none" w:sz="0" w:space="0" w:color="auto"/>
      </w:divBdr>
    </w:div>
    <w:div w:id="401098340">
      <w:bodyDiv w:val="1"/>
      <w:marLeft w:val="0"/>
      <w:marRight w:val="0"/>
      <w:marTop w:val="0"/>
      <w:marBottom w:val="0"/>
      <w:divBdr>
        <w:top w:val="none" w:sz="0" w:space="0" w:color="auto"/>
        <w:left w:val="none" w:sz="0" w:space="0" w:color="auto"/>
        <w:bottom w:val="none" w:sz="0" w:space="0" w:color="auto"/>
        <w:right w:val="none" w:sz="0" w:space="0" w:color="auto"/>
      </w:divBdr>
    </w:div>
    <w:div w:id="470055111">
      <w:bodyDiv w:val="1"/>
      <w:marLeft w:val="0"/>
      <w:marRight w:val="0"/>
      <w:marTop w:val="0"/>
      <w:marBottom w:val="0"/>
      <w:divBdr>
        <w:top w:val="none" w:sz="0" w:space="0" w:color="auto"/>
        <w:left w:val="none" w:sz="0" w:space="0" w:color="auto"/>
        <w:bottom w:val="none" w:sz="0" w:space="0" w:color="auto"/>
        <w:right w:val="none" w:sz="0" w:space="0" w:color="auto"/>
      </w:divBdr>
    </w:div>
    <w:div w:id="478884096">
      <w:bodyDiv w:val="1"/>
      <w:marLeft w:val="0"/>
      <w:marRight w:val="0"/>
      <w:marTop w:val="0"/>
      <w:marBottom w:val="0"/>
      <w:divBdr>
        <w:top w:val="none" w:sz="0" w:space="0" w:color="auto"/>
        <w:left w:val="none" w:sz="0" w:space="0" w:color="auto"/>
        <w:bottom w:val="none" w:sz="0" w:space="0" w:color="auto"/>
        <w:right w:val="none" w:sz="0" w:space="0" w:color="auto"/>
      </w:divBdr>
    </w:div>
    <w:div w:id="490291999">
      <w:bodyDiv w:val="1"/>
      <w:marLeft w:val="0"/>
      <w:marRight w:val="0"/>
      <w:marTop w:val="0"/>
      <w:marBottom w:val="0"/>
      <w:divBdr>
        <w:top w:val="none" w:sz="0" w:space="0" w:color="auto"/>
        <w:left w:val="none" w:sz="0" w:space="0" w:color="auto"/>
        <w:bottom w:val="none" w:sz="0" w:space="0" w:color="auto"/>
        <w:right w:val="none" w:sz="0" w:space="0" w:color="auto"/>
      </w:divBdr>
    </w:div>
    <w:div w:id="500657933">
      <w:bodyDiv w:val="1"/>
      <w:marLeft w:val="0"/>
      <w:marRight w:val="0"/>
      <w:marTop w:val="0"/>
      <w:marBottom w:val="0"/>
      <w:divBdr>
        <w:top w:val="none" w:sz="0" w:space="0" w:color="auto"/>
        <w:left w:val="none" w:sz="0" w:space="0" w:color="auto"/>
        <w:bottom w:val="none" w:sz="0" w:space="0" w:color="auto"/>
        <w:right w:val="none" w:sz="0" w:space="0" w:color="auto"/>
      </w:divBdr>
    </w:div>
    <w:div w:id="512688563">
      <w:bodyDiv w:val="1"/>
      <w:marLeft w:val="0"/>
      <w:marRight w:val="0"/>
      <w:marTop w:val="0"/>
      <w:marBottom w:val="0"/>
      <w:divBdr>
        <w:top w:val="none" w:sz="0" w:space="0" w:color="auto"/>
        <w:left w:val="none" w:sz="0" w:space="0" w:color="auto"/>
        <w:bottom w:val="none" w:sz="0" w:space="0" w:color="auto"/>
        <w:right w:val="none" w:sz="0" w:space="0" w:color="auto"/>
      </w:divBdr>
    </w:div>
    <w:div w:id="516114117">
      <w:bodyDiv w:val="1"/>
      <w:marLeft w:val="0"/>
      <w:marRight w:val="0"/>
      <w:marTop w:val="0"/>
      <w:marBottom w:val="0"/>
      <w:divBdr>
        <w:top w:val="none" w:sz="0" w:space="0" w:color="auto"/>
        <w:left w:val="none" w:sz="0" w:space="0" w:color="auto"/>
        <w:bottom w:val="none" w:sz="0" w:space="0" w:color="auto"/>
        <w:right w:val="none" w:sz="0" w:space="0" w:color="auto"/>
      </w:divBdr>
    </w:div>
    <w:div w:id="526067089">
      <w:bodyDiv w:val="1"/>
      <w:marLeft w:val="0"/>
      <w:marRight w:val="0"/>
      <w:marTop w:val="0"/>
      <w:marBottom w:val="0"/>
      <w:divBdr>
        <w:top w:val="none" w:sz="0" w:space="0" w:color="auto"/>
        <w:left w:val="none" w:sz="0" w:space="0" w:color="auto"/>
        <w:bottom w:val="none" w:sz="0" w:space="0" w:color="auto"/>
        <w:right w:val="none" w:sz="0" w:space="0" w:color="auto"/>
      </w:divBdr>
    </w:div>
    <w:div w:id="545603185">
      <w:bodyDiv w:val="1"/>
      <w:marLeft w:val="0"/>
      <w:marRight w:val="0"/>
      <w:marTop w:val="0"/>
      <w:marBottom w:val="0"/>
      <w:divBdr>
        <w:top w:val="none" w:sz="0" w:space="0" w:color="auto"/>
        <w:left w:val="none" w:sz="0" w:space="0" w:color="auto"/>
        <w:bottom w:val="none" w:sz="0" w:space="0" w:color="auto"/>
        <w:right w:val="none" w:sz="0" w:space="0" w:color="auto"/>
      </w:divBdr>
    </w:div>
    <w:div w:id="555628472">
      <w:bodyDiv w:val="1"/>
      <w:marLeft w:val="0"/>
      <w:marRight w:val="0"/>
      <w:marTop w:val="0"/>
      <w:marBottom w:val="0"/>
      <w:divBdr>
        <w:top w:val="none" w:sz="0" w:space="0" w:color="auto"/>
        <w:left w:val="none" w:sz="0" w:space="0" w:color="auto"/>
        <w:bottom w:val="none" w:sz="0" w:space="0" w:color="auto"/>
        <w:right w:val="none" w:sz="0" w:space="0" w:color="auto"/>
      </w:divBdr>
    </w:div>
    <w:div w:id="558516221">
      <w:bodyDiv w:val="1"/>
      <w:marLeft w:val="0"/>
      <w:marRight w:val="0"/>
      <w:marTop w:val="0"/>
      <w:marBottom w:val="0"/>
      <w:divBdr>
        <w:top w:val="none" w:sz="0" w:space="0" w:color="auto"/>
        <w:left w:val="none" w:sz="0" w:space="0" w:color="auto"/>
        <w:bottom w:val="none" w:sz="0" w:space="0" w:color="auto"/>
        <w:right w:val="none" w:sz="0" w:space="0" w:color="auto"/>
      </w:divBdr>
    </w:div>
    <w:div w:id="571281800">
      <w:bodyDiv w:val="1"/>
      <w:marLeft w:val="0"/>
      <w:marRight w:val="0"/>
      <w:marTop w:val="0"/>
      <w:marBottom w:val="0"/>
      <w:divBdr>
        <w:top w:val="none" w:sz="0" w:space="0" w:color="auto"/>
        <w:left w:val="none" w:sz="0" w:space="0" w:color="auto"/>
        <w:bottom w:val="none" w:sz="0" w:space="0" w:color="auto"/>
        <w:right w:val="none" w:sz="0" w:space="0" w:color="auto"/>
      </w:divBdr>
    </w:div>
    <w:div w:id="579565937">
      <w:bodyDiv w:val="1"/>
      <w:marLeft w:val="0"/>
      <w:marRight w:val="0"/>
      <w:marTop w:val="0"/>
      <w:marBottom w:val="0"/>
      <w:divBdr>
        <w:top w:val="none" w:sz="0" w:space="0" w:color="auto"/>
        <w:left w:val="none" w:sz="0" w:space="0" w:color="auto"/>
        <w:bottom w:val="none" w:sz="0" w:space="0" w:color="auto"/>
        <w:right w:val="none" w:sz="0" w:space="0" w:color="auto"/>
      </w:divBdr>
    </w:div>
    <w:div w:id="586815199">
      <w:bodyDiv w:val="1"/>
      <w:marLeft w:val="0"/>
      <w:marRight w:val="0"/>
      <w:marTop w:val="0"/>
      <w:marBottom w:val="0"/>
      <w:divBdr>
        <w:top w:val="none" w:sz="0" w:space="0" w:color="auto"/>
        <w:left w:val="none" w:sz="0" w:space="0" w:color="auto"/>
        <w:bottom w:val="none" w:sz="0" w:space="0" w:color="auto"/>
        <w:right w:val="none" w:sz="0" w:space="0" w:color="auto"/>
      </w:divBdr>
    </w:div>
    <w:div w:id="588857006">
      <w:bodyDiv w:val="1"/>
      <w:marLeft w:val="0"/>
      <w:marRight w:val="0"/>
      <w:marTop w:val="0"/>
      <w:marBottom w:val="0"/>
      <w:divBdr>
        <w:top w:val="none" w:sz="0" w:space="0" w:color="auto"/>
        <w:left w:val="none" w:sz="0" w:space="0" w:color="auto"/>
        <w:bottom w:val="none" w:sz="0" w:space="0" w:color="auto"/>
        <w:right w:val="none" w:sz="0" w:space="0" w:color="auto"/>
      </w:divBdr>
    </w:div>
    <w:div w:id="610820519">
      <w:bodyDiv w:val="1"/>
      <w:marLeft w:val="0"/>
      <w:marRight w:val="0"/>
      <w:marTop w:val="0"/>
      <w:marBottom w:val="0"/>
      <w:divBdr>
        <w:top w:val="none" w:sz="0" w:space="0" w:color="auto"/>
        <w:left w:val="none" w:sz="0" w:space="0" w:color="auto"/>
        <w:bottom w:val="none" w:sz="0" w:space="0" w:color="auto"/>
        <w:right w:val="none" w:sz="0" w:space="0" w:color="auto"/>
      </w:divBdr>
    </w:div>
    <w:div w:id="614219510">
      <w:bodyDiv w:val="1"/>
      <w:marLeft w:val="0"/>
      <w:marRight w:val="0"/>
      <w:marTop w:val="0"/>
      <w:marBottom w:val="0"/>
      <w:divBdr>
        <w:top w:val="none" w:sz="0" w:space="0" w:color="auto"/>
        <w:left w:val="none" w:sz="0" w:space="0" w:color="auto"/>
        <w:bottom w:val="none" w:sz="0" w:space="0" w:color="auto"/>
        <w:right w:val="none" w:sz="0" w:space="0" w:color="auto"/>
      </w:divBdr>
    </w:div>
    <w:div w:id="621301022">
      <w:bodyDiv w:val="1"/>
      <w:marLeft w:val="0"/>
      <w:marRight w:val="0"/>
      <w:marTop w:val="0"/>
      <w:marBottom w:val="0"/>
      <w:divBdr>
        <w:top w:val="none" w:sz="0" w:space="0" w:color="auto"/>
        <w:left w:val="none" w:sz="0" w:space="0" w:color="auto"/>
        <w:bottom w:val="none" w:sz="0" w:space="0" w:color="auto"/>
        <w:right w:val="none" w:sz="0" w:space="0" w:color="auto"/>
      </w:divBdr>
    </w:div>
    <w:div w:id="629898240">
      <w:bodyDiv w:val="1"/>
      <w:marLeft w:val="0"/>
      <w:marRight w:val="0"/>
      <w:marTop w:val="0"/>
      <w:marBottom w:val="0"/>
      <w:divBdr>
        <w:top w:val="none" w:sz="0" w:space="0" w:color="auto"/>
        <w:left w:val="none" w:sz="0" w:space="0" w:color="auto"/>
        <w:bottom w:val="none" w:sz="0" w:space="0" w:color="auto"/>
        <w:right w:val="none" w:sz="0" w:space="0" w:color="auto"/>
      </w:divBdr>
    </w:div>
    <w:div w:id="630668518">
      <w:bodyDiv w:val="1"/>
      <w:marLeft w:val="0"/>
      <w:marRight w:val="0"/>
      <w:marTop w:val="0"/>
      <w:marBottom w:val="0"/>
      <w:divBdr>
        <w:top w:val="none" w:sz="0" w:space="0" w:color="auto"/>
        <w:left w:val="none" w:sz="0" w:space="0" w:color="auto"/>
        <w:bottom w:val="none" w:sz="0" w:space="0" w:color="auto"/>
        <w:right w:val="none" w:sz="0" w:space="0" w:color="auto"/>
      </w:divBdr>
    </w:div>
    <w:div w:id="636448294">
      <w:bodyDiv w:val="1"/>
      <w:marLeft w:val="0"/>
      <w:marRight w:val="0"/>
      <w:marTop w:val="0"/>
      <w:marBottom w:val="0"/>
      <w:divBdr>
        <w:top w:val="none" w:sz="0" w:space="0" w:color="auto"/>
        <w:left w:val="none" w:sz="0" w:space="0" w:color="auto"/>
        <w:bottom w:val="none" w:sz="0" w:space="0" w:color="auto"/>
        <w:right w:val="none" w:sz="0" w:space="0" w:color="auto"/>
      </w:divBdr>
    </w:div>
    <w:div w:id="638845085">
      <w:bodyDiv w:val="1"/>
      <w:marLeft w:val="0"/>
      <w:marRight w:val="0"/>
      <w:marTop w:val="0"/>
      <w:marBottom w:val="0"/>
      <w:divBdr>
        <w:top w:val="none" w:sz="0" w:space="0" w:color="auto"/>
        <w:left w:val="none" w:sz="0" w:space="0" w:color="auto"/>
        <w:bottom w:val="none" w:sz="0" w:space="0" w:color="auto"/>
        <w:right w:val="none" w:sz="0" w:space="0" w:color="auto"/>
      </w:divBdr>
    </w:div>
    <w:div w:id="641354291">
      <w:bodyDiv w:val="1"/>
      <w:marLeft w:val="0"/>
      <w:marRight w:val="0"/>
      <w:marTop w:val="0"/>
      <w:marBottom w:val="0"/>
      <w:divBdr>
        <w:top w:val="none" w:sz="0" w:space="0" w:color="auto"/>
        <w:left w:val="none" w:sz="0" w:space="0" w:color="auto"/>
        <w:bottom w:val="none" w:sz="0" w:space="0" w:color="auto"/>
        <w:right w:val="none" w:sz="0" w:space="0" w:color="auto"/>
      </w:divBdr>
    </w:div>
    <w:div w:id="654459876">
      <w:bodyDiv w:val="1"/>
      <w:marLeft w:val="0"/>
      <w:marRight w:val="0"/>
      <w:marTop w:val="0"/>
      <w:marBottom w:val="0"/>
      <w:divBdr>
        <w:top w:val="none" w:sz="0" w:space="0" w:color="auto"/>
        <w:left w:val="none" w:sz="0" w:space="0" w:color="auto"/>
        <w:bottom w:val="none" w:sz="0" w:space="0" w:color="auto"/>
        <w:right w:val="none" w:sz="0" w:space="0" w:color="auto"/>
      </w:divBdr>
    </w:div>
    <w:div w:id="660738225">
      <w:bodyDiv w:val="1"/>
      <w:marLeft w:val="0"/>
      <w:marRight w:val="0"/>
      <w:marTop w:val="0"/>
      <w:marBottom w:val="0"/>
      <w:divBdr>
        <w:top w:val="none" w:sz="0" w:space="0" w:color="auto"/>
        <w:left w:val="none" w:sz="0" w:space="0" w:color="auto"/>
        <w:bottom w:val="none" w:sz="0" w:space="0" w:color="auto"/>
        <w:right w:val="none" w:sz="0" w:space="0" w:color="auto"/>
      </w:divBdr>
    </w:div>
    <w:div w:id="664554590">
      <w:bodyDiv w:val="1"/>
      <w:marLeft w:val="0"/>
      <w:marRight w:val="0"/>
      <w:marTop w:val="0"/>
      <w:marBottom w:val="0"/>
      <w:divBdr>
        <w:top w:val="none" w:sz="0" w:space="0" w:color="auto"/>
        <w:left w:val="none" w:sz="0" w:space="0" w:color="auto"/>
        <w:bottom w:val="none" w:sz="0" w:space="0" w:color="auto"/>
        <w:right w:val="none" w:sz="0" w:space="0" w:color="auto"/>
      </w:divBdr>
    </w:div>
    <w:div w:id="666711933">
      <w:bodyDiv w:val="1"/>
      <w:marLeft w:val="0"/>
      <w:marRight w:val="0"/>
      <w:marTop w:val="0"/>
      <w:marBottom w:val="0"/>
      <w:divBdr>
        <w:top w:val="none" w:sz="0" w:space="0" w:color="auto"/>
        <w:left w:val="none" w:sz="0" w:space="0" w:color="auto"/>
        <w:bottom w:val="none" w:sz="0" w:space="0" w:color="auto"/>
        <w:right w:val="none" w:sz="0" w:space="0" w:color="auto"/>
      </w:divBdr>
    </w:div>
    <w:div w:id="676229841">
      <w:bodyDiv w:val="1"/>
      <w:marLeft w:val="0"/>
      <w:marRight w:val="0"/>
      <w:marTop w:val="0"/>
      <w:marBottom w:val="0"/>
      <w:divBdr>
        <w:top w:val="none" w:sz="0" w:space="0" w:color="auto"/>
        <w:left w:val="none" w:sz="0" w:space="0" w:color="auto"/>
        <w:bottom w:val="none" w:sz="0" w:space="0" w:color="auto"/>
        <w:right w:val="none" w:sz="0" w:space="0" w:color="auto"/>
      </w:divBdr>
    </w:div>
    <w:div w:id="686172461">
      <w:bodyDiv w:val="1"/>
      <w:marLeft w:val="0"/>
      <w:marRight w:val="0"/>
      <w:marTop w:val="0"/>
      <w:marBottom w:val="0"/>
      <w:divBdr>
        <w:top w:val="none" w:sz="0" w:space="0" w:color="auto"/>
        <w:left w:val="none" w:sz="0" w:space="0" w:color="auto"/>
        <w:bottom w:val="none" w:sz="0" w:space="0" w:color="auto"/>
        <w:right w:val="none" w:sz="0" w:space="0" w:color="auto"/>
      </w:divBdr>
    </w:div>
    <w:div w:id="735668581">
      <w:bodyDiv w:val="1"/>
      <w:marLeft w:val="0"/>
      <w:marRight w:val="0"/>
      <w:marTop w:val="0"/>
      <w:marBottom w:val="0"/>
      <w:divBdr>
        <w:top w:val="none" w:sz="0" w:space="0" w:color="auto"/>
        <w:left w:val="none" w:sz="0" w:space="0" w:color="auto"/>
        <w:bottom w:val="none" w:sz="0" w:space="0" w:color="auto"/>
        <w:right w:val="none" w:sz="0" w:space="0" w:color="auto"/>
      </w:divBdr>
    </w:div>
    <w:div w:id="782042114">
      <w:bodyDiv w:val="1"/>
      <w:marLeft w:val="0"/>
      <w:marRight w:val="0"/>
      <w:marTop w:val="0"/>
      <w:marBottom w:val="0"/>
      <w:divBdr>
        <w:top w:val="none" w:sz="0" w:space="0" w:color="auto"/>
        <w:left w:val="none" w:sz="0" w:space="0" w:color="auto"/>
        <w:bottom w:val="none" w:sz="0" w:space="0" w:color="auto"/>
        <w:right w:val="none" w:sz="0" w:space="0" w:color="auto"/>
      </w:divBdr>
    </w:div>
    <w:div w:id="783109370">
      <w:bodyDiv w:val="1"/>
      <w:marLeft w:val="0"/>
      <w:marRight w:val="0"/>
      <w:marTop w:val="0"/>
      <w:marBottom w:val="0"/>
      <w:divBdr>
        <w:top w:val="none" w:sz="0" w:space="0" w:color="auto"/>
        <w:left w:val="none" w:sz="0" w:space="0" w:color="auto"/>
        <w:bottom w:val="none" w:sz="0" w:space="0" w:color="auto"/>
        <w:right w:val="none" w:sz="0" w:space="0" w:color="auto"/>
      </w:divBdr>
    </w:div>
    <w:div w:id="806706867">
      <w:bodyDiv w:val="1"/>
      <w:marLeft w:val="0"/>
      <w:marRight w:val="0"/>
      <w:marTop w:val="0"/>
      <w:marBottom w:val="0"/>
      <w:divBdr>
        <w:top w:val="none" w:sz="0" w:space="0" w:color="auto"/>
        <w:left w:val="none" w:sz="0" w:space="0" w:color="auto"/>
        <w:bottom w:val="none" w:sz="0" w:space="0" w:color="auto"/>
        <w:right w:val="none" w:sz="0" w:space="0" w:color="auto"/>
      </w:divBdr>
    </w:div>
    <w:div w:id="822694539">
      <w:bodyDiv w:val="1"/>
      <w:marLeft w:val="0"/>
      <w:marRight w:val="0"/>
      <w:marTop w:val="0"/>
      <w:marBottom w:val="0"/>
      <w:divBdr>
        <w:top w:val="none" w:sz="0" w:space="0" w:color="auto"/>
        <w:left w:val="none" w:sz="0" w:space="0" w:color="auto"/>
        <w:bottom w:val="none" w:sz="0" w:space="0" w:color="auto"/>
        <w:right w:val="none" w:sz="0" w:space="0" w:color="auto"/>
      </w:divBdr>
    </w:div>
    <w:div w:id="829517279">
      <w:bodyDiv w:val="1"/>
      <w:marLeft w:val="0"/>
      <w:marRight w:val="0"/>
      <w:marTop w:val="0"/>
      <w:marBottom w:val="0"/>
      <w:divBdr>
        <w:top w:val="none" w:sz="0" w:space="0" w:color="auto"/>
        <w:left w:val="none" w:sz="0" w:space="0" w:color="auto"/>
        <w:bottom w:val="none" w:sz="0" w:space="0" w:color="auto"/>
        <w:right w:val="none" w:sz="0" w:space="0" w:color="auto"/>
      </w:divBdr>
    </w:div>
    <w:div w:id="829977900">
      <w:bodyDiv w:val="1"/>
      <w:marLeft w:val="0"/>
      <w:marRight w:val="0"/>
      <w:marTop w:val="0"/>
      <w:marBottom w:val="0"/>
      <w:divBdr>
        <w:top w:val="none" w:sz="0" w:space="0" w:color="auto"/>
        <w:left w:val="none" w:sz="0" w:space="0" w:color="auto"/>
        <w:bottom w:val="none" w:sz="0" w:space="0" w:color="auto"/>
        <w:right w:val="none" w:sz="0" w:space="0" w:color="auto"/>
      </w:divBdr>
      <w:divsChild>
        <w:div w:id="1622225688">
          <w:marLeft w:val="0"/>
          <w:marRight w:val="0"/>
          <w:marTop w:val="0"/>
          <w:marBottom w:val="0"/>
          <w:divBdr>
            <w:top w:val="none" w:sz="0" w:space="0" w:color="auto"/>
            <w:left w:val="none" w:sz="0" w:space="0" w:color="auto"/>
            <w:bottom w:val="none" w:sz="0" w:space="0" w:color="auto"/>
            <w:right w:val="none" w:sz="0" w:space="0" w:color="auto"/>
          </w:divBdr>
          <w:divsChild>
            <w:div w:id="1705129460">
              <w:marLeft w:val="0"/>
              <w:marRight w:val="0"/>
              <w:marTop w:val="0"/>
              <w:marBottom w:val="0"/>
              <w:divBdr>
                <w:top w:val="none" w:sz="0" w:space="0" w:color="auto"/>
                <w:left w:val="none" w:sz="0" w:space="0" w:color="auto"/>
                <w:bottom w:val="none" w:sz="0" w:space="0" w:color="auto"/>
                <w:right w:val="none" w:sz="0" w:space="0" w:color="auto"/>
              </w:divBdr>
              <w:divsChild>
                <w:div w:id="1490713648">
                  <w:marLeft w:val="0"/>
                  <w:marRight w:val="0"/>
                  <w:marTop w:val="0"/>
                  <w:marBottom w:val="0"/>
                  <w:divBdr>
                    <w:top w:val="none" w:sz="0" w:space="0" w:color="auto"/>
                    <w:left w:val="none" w:sz="0" w:space="0" w:color="auto"/>
                    <w:bottom w:val="none" w:sz="0" w:space="0" w:color="auto"/>
                    <w:right w:val="none" w:sz="0" w:space="0" w:color="auto"/>
                  </w:divBdr>
                  <w:divsChild>
                    <w:div w:id="1337926814">
                      <w:marLeft w:val="0"/>
                      <w:marRight w:val="0"/>
                      <w:marTop w:val="0"/>
                      <w:marBottom w:val="0"/>
                      <w:divBdr>
                        <w:top w:val="none" w:sz="0" w:space="0" w:color="auto"/>
                        <w:left w:val="none" w:sz="0" w:space="0" w:color="auto"/>
                        <w:bottom w:val="none" w:sz="0" w:space="0" w:color="auto"/>
                        <w:right w:val="single" w:sz="18" w:space="0" w:color="F9F9F9"/>
                      </w:divBdr>
                      <w:divsChild>
                        <w:div w:id="157699166">
                          <w:marLeft w:val="0"/>
                          <w:marRight w:val="3"/>
                          <w:marTop w:val="0"/>
                          <w:marBottom w:val="600"/>
                          <w:divBdr>
                            <w:top w:val="none" w:sz="0" w:space="0" w:color="auto"/>
                            <w:left w:val="none" w:sz="0" w:space="0" w:color="auto"/>
                            <w:bottom w:val="none" w:sz="0" w:space="0" w:color="auto"/>
                            <w:right w:val="none" w:sz="0" w:space="0" w:color="auto"/>
                          </w:divBdr>
                          <w:divsChild>
                            <w:div w:id="1536120802">
                              <w:marLeft w:val="0"/>
                              <w:marRight w:val="0"/>
                              <w:marTop w:val="0"/>
                              <w:marBottom w:val="0"/>
                              <w:divBdr>
                                <w:top w:val="none" w:sz="0" w:space="0" w:color="auto"/>
                                <w:left w:val="none" w:sz="0" w:space="0" w:color="auto"/>
                                <w:bottom w:val="none" w:sz="0" w:space="0" w:color="auto"/>
                                <w:right w:val="none" w:sz="0" w:space="0" w:color="auto"/>
                              </w:divBdr>
                              <w:divsChild>
                                <w:div w:id="1423452712">
                                  <w:marLeft w:val="0"/>
                                  <w:marRight w:val="0"/>
                                  <w:marTop w:val="0"/>
                                  <w:marBottom w:val="0"/>
                                  <w:divBdr>
                                    <w:top w:val="none" w:sz="0" w:space="0" w:color="auto"/>
                                    <w:left w:val="none" w:sz="0" w:space="0" w:color="auto"/>
                                    <w:bottom w:val="none" w:sz="0" w:space="0" w:color="auto"/>
                                    <w:right w:val="none" w:sz="0" w:space="0" w:color="auto"/>
                                  </w:divBdr>
                                  <w:divsChild>
                                    <w:div w:id="15990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900728">
      <w:bodyDiv w:val="1"/>
      <w:marLeft w:val="0"/>
      <w:marRight w:val="0"/>
      <w:marTop w:val="0"/>
      <w:marBottom w:val="0"/>
      <w:divBdr>
        <w:top w:val="none" w:sz="0" w:space="0" w:color="auto"/>
        <w:left w:val="none" w:sz="0" w:space="0" w:color="auto"/>
        <w:bottom w:val="none" w:sz="0" w:space="0" w:color="auto"/>
        <w:right w:val="none" w:sz="0" w:space="0" w:color="auto"/>
      </w:divBdr>
    </w:div>
    <w:div w:id="849951375">
      <w:bodyDiv w:val="1"/>
      <w:marLeft w:val="0"/>
      <w:marRight w:val="0"/>
      <w:marTop w:val="0"/>
      <w:marBottom w:val="0"/>
      <w:divBdr>
        <w:top w:val="none" w:sz="0" w:space="0" w:color="auto"/>
        <w:left w:val="none" w:sz="0" w:space="0" w:color="auto"/>
        <w:bottom w:val="none" w:sz="0" w:space="0" w:color="auto"/>
        <w:right w:val="none" w:sz="0" w:space="0" w:color="auto"/>
      </w:divBdr>
    </w:div>
    <w:div w:id="856507490">
      <w:bodyDiv w:val="1"/>
      <w:marLeft w:val="0"/>
      <w:marRight w:val="0"/>
      <w:marTop w:val="0"/>
      <w:marBottom w:val="0"/>
      <w:divBdr>
        <w:top w:val="none" w:sz="0" w:space="0" w:color="auto"/>
        <w:left w:val="none" w:sz="0" w:space="0" w:color="auto"/>
        <w:bottom w:val="none" w:sz="0" w:space="0" w:color="auto"/>
        <w:right w:val="none" w:sz="0" w:space="0" w:color="auto"/>
      </w:divBdr>
    </w:div>
    <w:div w:id="856508418">
      <w:bodyDiv w:val="1"/>
      <w:marLeft w:val="0"/>
      <w:marRight w:val="0"/>
      <w:marTop w:val="0"/>
      <w:marBottom w:val="0"/>
      <w:divBdr>
        <w:top w:val="none" w:sz="0" w:space="0" w:color="auto"/>
        <w:left w:val="none" w:sz="0" w:space="0" w:color="auto"/>
        <w:bottom w:val="none" w:sz="0" w:space="0" w:color="auto"/>
        <w:right w:val="none" w:sz="0" w:space="0" w:color="auto"/>
      </w:divBdr>
    </w:div>
    <w:div w:id="859197852">
      <w:bodyDiv w:val="1"/>
      <w:marLeft w:val="0"/>
      <w:marRight w:val="0"/>
      <w:marTop w:val="0"/>
      <w:marBottom w:val="0"/>
      <w:divBdr>
        <w:top w:val="none" w:sz="0" w:space="0" w:color="auto"/>
        <w:left w:val="none" w:sz="0" w:space="0" w:color="auto"/>
        <w:bottom w:val="none" w:sz="0" w:space="0" w:color="auto"/>
        <w:right w:val="none" w:sz="0" w:space="0" w:color="auto"/>
      </w:divBdr>
    </w:div>
    <w:div w:id="872381186">
      <w:bodyDiv w:val="1"/>
      <w:marLeft w:val="0"/>
      <w:marRight w:val="0"/>
      <w:marTop w:val="0"/>
      <w:marBottom w:val="0"/>
      <w:divBdr>
        <w:top w:val="none" w:sz="0" w:space="0" w:color="auto"/>
        <w:left w:val="none" w:sz="0" w:space="0" w:color="auto"/>
        <w:bottom w:val="none" w:sz="0" w:space="0" w:color="auto"/>
        <w:right w:val="none" w:sz="0" w:space="0" w:color="auto"/>
      </w:divBdr>
    </w:div>
    <w:div w:id="897205197">
      <w:bodyDiv w:val="1"/>
      <w:marLeft w:val="0"/>
      <w:marRight w:val="0"/>
      <w:marTop w:val="0"/>
      <w:marBottom w:val="0"/>
      <w:divBdr>
        <w:top w:val="none" w:sz="0" w:space="0" w:color="auto"/>
        <w:left w:val="none" w:sz="0" w:space="0" w:color="auto"/>
        <w:bottom w:val="none" w:sz="0" w:space="0" w:color="auto"/>
        <w:right w:val="none" w:sz="0" w:space="0" w:color="auto"/>
      </w:divBdr>
    </w:div>
    <w:div w:id="898517259">
      <w:bodyDiv w:val="1"/>
      <w:marLeft w:val="0"/>
      <w:marRight w:val="0"/>
      <w:marTop w:val="0"/>
      <w:marBottom w:val="0"/>
      <w:divBdr>
        <w:top w:val="none" w:sz="0" w:space="0" w:color="auto"/>
        <w:left w:val="none" w:sz="0" w:space="0" w:color="auto"/>
        <w:bottom w:val="none" w:sz="0" w:space="0" w:color="auto"/>
        <w:right w:val="none" w:sz="0" w:space="0" w:color="auto"/>
      </w:divBdr>
    </w:div>
    <w:div w:id="915360888">
      <w:bodyDiv w:val="1"/>
      <w:marLeft w:val="0"/>
      <w:marRight w:val="0"/>
      <w:marTop w:val="0"/>
      <w:marBottom w:val="0"/>
      <w:divBdr>
        <w:top w:val="none" w:sz="0" w:space="0" w:color="auto"/>
        <w:left w:val="none" w:sz="0" w:space="0" w:color="auto"/>
        <w:bottom w:val="none" w:sz="0" w:space="0" w:color="auto"/>
        <w:right w:val="none" w:sz="0" w:space="0" w:color="auto"/>
      </w:divBdr>
    </w:div>
    <w:div w:id="921915761">
      <w:bodyDiv w:val="1"/>
      <w:marLeft w:val="0"/>
      <w:marRight w:val="0"/>
      <w:marTop w:val="0"/>
      <w:marBottom w:val="0"/>
      <w:divBdr>
        <w:top w:val="none" w:sz="0" w:space="0" w:color="auto"/>
        <w:left w:val="none" w:sz="0" w:space="0" w:color="auto"/>
        <w:bottom w:val="none" w:sz="0" w:space="0" w:color="auto"/>
        <w:right w:val="none" w:sz="0" w:space="0" w:color="auto"/>
      </w:divBdr>
    </w:div>
    <w:div w:id="944265158">
      <w:bodyDiv w:val="1"/>
      <w:marLeft w:val="0"/>
      <w:marRight w:val="0"/>
      <w:marTop w:val="0"/>
      <w:marBottom w:val="0"/>
      <w:divBdr>
        <w:top w:val="none" w:sz="0" w:space="0" w:color="auto"/>
        <w:left w:val="none" w:sz="0" w:space="0" w:color="auto"/>
        <w:bottom w:val="none" w:sz="0" w:space="0" w:color="auto"/>
        <w:right w:val="none" w:sz="0" w:space="0" w:color="auto"/>
      </w:divBdr>
    </w:div>
    <w:div w:id="970867892">
      <w:bodyDiv w:val="1"/>
      <w:marLeft w:val="0"/>
      <w:marRight w:val="0"/>
      <w:marTop w:val="0"/>
      <w:marBottom w:val="0"/>
      <w:divBdr>
        <w:top w:val="none" w:sz="0" w:space="0" w:color="auto"/>
        <w:left w:val="none" w:sz="0" w:space="0" w:color="auto"/>
        <w:bottom w:val="none" w:sz="0" w:space="0" w:color="auto"/>
        <w:right w:val="none" w:sz="0" w:space="0" w:color="auto"/>
      </w:divBdr>
    </w:div>
    <w:div w:id="986472820">
      <w:bodyDiv w:val="1"/>
      <w:marLeft w:val="0"/>
      <w:marRight w:val="0"/>
      <w:marTop w:val="0"/>
      <w:marBottom w:val="0"/>
      <w:divBdr>
        <w:top w:val="none" w:sz="0" w:space="0" w:color="auto"/>
        <w:left w:val="none" w:sz="0" w:space="0" w:color="auto"/>
        <w:bottom w:val="none" w:sz="0" w:space="0" w:color="auto"/>
        <w:right w:val="none" w:sz="0" w:space="0" w:color="auto"/>
      </w:divBdr>
    </w:div>
    <w:div w:id="986979671">
      <w:bodyDiv w:val="1"/>
      <w:marLeft w:val="0"/>
      <w:marRight w:val="0"/>
      <w:marTop w:val="0"/>
      <w:marBottom w:val="0"/>
      <w:divBdr>
        <w:top w:val="none" w:sz="0" w:space="0" w:color="auto"/>
        <w:left w:val="none" w:sz="0" w:space="0" w:color="auto"/>
        <w:bottom w:val="none" w:sz="0" w:space="0" w:color="auto"/>
        <w:right w:val="none" w:sz="0" w:space="0" w:color="auto"/>
      </w:divBdr>
    </w:div>
    <w:div w:id="989940414">
      <w:bodyDiv w:val="1"/>
      <w:marLeft w:val="0"/>
      <w:marRight w:val="0"/>
      <w:marTop w:val="0"/>
      <w:marBottom w:val="0"/>
      <w:divBdr>
        <w:top w:val="none" w:sz="0" w:space="0" w:color="auto"/>
        <w:left w:val="none" w:sz="0" w:space="0" w:color="auto"/>
        <w:bottom w:val="none" w:sz="0" w:space="0" w:color="auto"/>
        <w:right w:val="none" w:sz="0" w:space="0" w:color="auto"/>
      </w:divBdr>
    </w:div>
    <w:div w:id="1024786802">
      <w:bodyDiv w:val="1"/>
      <w:marLeft w:val="0"/>
      <w:marRight w:val="0"/>
      <w:marTop w:val="0"/>
      <w:marBottom w:val="0"/>
      <w:divBdr>
        <w:top w:val="none" w:sz="0" w:space="0" w:color="auto"/>
        <w:left w:val="none" w:sz="0" w:space="0" w:color="auto"/>
        <w:bottom w:val="none" w:sz="0" w:space="0" w:color="auto"/>
        <w:right w:val="none" w:sz="0" w:space="0" w:color="auto"/>
      </w:divBdr>
    </w:div>
    <w:div w:id="1025863753">
      <w:bodyDiv w:val="1"/>
      <w:marLeft w:val="0"/>
      <w:marRight w:val="0"/>
      <w:marTop w:val="0"/>
      <w:marBottom w:val="0"/>
      <w:divBdr>
        <w:top w:val="none" w:sz="0" w:space="0" w:color="auto"/>
        <w:left w:val="none" w:sz="0" w:space="0" w:color="auto"/>
        <w:bottom w:val="none" w:sz="0" w:space="0" w:color="auto"/>
        <w:right w:val="none" w:sz="0" w:space="0" w:color="auto"/>
      </w:divBdr>
    </w:div>
    <w:div w:id="1028524837">
      <w:bodyDiv w:val="1"/>
      <w:marLeft w:val="0"/>
      <w:marRight w:val="0"/>
      <w:marTop w:val="0"/>
      <w:marBottom w:val="0"/>
      <w:divBdr>
        <w:top w:val="none" w:sz="0" w:space="0" w:color="auto"/>
        <w:left w:val="none" w:sz="0" w:space="0" w:color="auto"/>
        <w:bottom w:val="none" w:sz="0" w:space="0" w:color="auto"/>
        <w:right w:val="none" w:sz="0" w:space="0" w:color="auto"/>
      </w:divBdr>
    </w:div>
    <w:div w:id="1079520759">
      <w:bodyDiv w:val="1"/>
      <w:marLeft w:val="0"/>
      <w:marRight w:val="0"/>
      <w:marTop w:val="0"/>
      <w:marBottom w:val="0"/>
      <w:divBdr>
        <w:top w:val="none" w:sz="0" w:space="0" w:color="auto"/>
        <w:left w:val="none" w:sz="0" w:space="0" w:color="auto"/>
        <w:bottom w:val="none" w:sz="0" w:space="0" w:color="auto"/>
        <w:right w:val="none" w:sz="0" w:space="0" w:color="auto"/>
      </w:divBdr>
    </w:div>
    <w:div w:id="1085108286">
      <w:bodyDiv w:val="1"/>
      <w:marLeft w:val="0"/>
      <w:marRight w:val="0"/>
      <w:marTop w:val="0"/>
      <w:marBottom w:val="0"/>
      <w:divBdr>
        <w:top w:val="none" w:sz="0" w:space="0" w:color="auto"/>
        <w:left w:val="none" w:sz="0" w:space="0" w:color="auto"/>
        <w:bottom w:val="none" w:sz="0" w:space="0" w:color="auto"/>
        <w:right w:val="none" w:sz="0" w:space="0" w:color="auto"/>
      </w:divBdr>
    </w:div>
    <w:div w:id="1088892728">
      <w:bodyDiv w:val="1"/>
      <w:marLeft w:val="0"/>
      <w:marRight w:val="0"/>
      <w:marTop w:val="0"/>
      <w:marBottom w:val="0"/>
      <w:divBdr>
        <w:top w:val="none" w:sz="0" w:space="0" w:color="auto"/>
        <w:left w:val="none" w:sz="0" w:space="0" w:color="auto"/>
        <w:bottom w:val="none" w:sz="0" w:space="0" w:color="auto"/>
        <w:right w:val="none" w:sz="0" w:space="0" w:color="auto"/>
      </w:divBdr>
    </w:div>
    <w:div w:id="1093747731">
      <w:bodyDiv w:val="1"/>
      <w:marLeft w:val="0"/>
      <w:marRight w:val="0"/>
      <w:marTop w:val="0"/>
      <w:marBottom w:val="0"/>
      <w:divBdr>
        <w:top w:val="none" w:sz="0" w:space="0" w:color="auto"/>
        <w:left w:val="none" w:sz="0" w:space="0" w:color="auto"/>
        <w:bottom w:val="none" w:sz="0" w:space="0" w:color="auto"/>
        <w:right w:val="none" w:sz="0" w:space="0" w:color="auto"/>
      </w:divBdr>
    </w:div>
    <w:div w:id="1101220335">
      <w:bodyDiv w:val="1"/>
      <w:marLeft w:val="0"/>
      <w:marRight w:val="0"/>
      <w:marTop w:val="0"/>
      <w:marBottom w:val="0"/>
      <w:divBdr>
        <w:top w:val="none" w:sz="0" w:space="0" w:color="auto"/>
        <w:left w:val="none" w:sz="0" w:space="0" w:color="auto"/>
        <w:bottom w:val="none" w:sz="0" w:space="0" w:color="auto"/>
        <w:right w:val="none" w:sz="0" w:space="0" w:color="auto"/>
      </w:divBdr>
    </w:div>
    <w:div w:id="1149438798">
      <w:bodyDiv w:val="1"/>
      <w:marLeft w:val="0"/>
      <w:marRight w:val="0"/>
      <w:marTop w:val="0"/>
      <w:marBottom w:val="0"/>
      <w:divBdr>
        <w:top w:val="none" w:sz="0" w:space="0" w:color="auto"/>
        <w:left w:val="none" w:sz="0" w:space="0" w:color="auto"/>
        <w:bottom w:val="none" w:sz="0" w:space="0" w:color="auto"/>
        <w:right w:val="none" w:sz="0" w:space="0" w:color="auto"/>
      </w:divBdr>
    </w:div>
    <w:div w:id="1163474135">
      <w:bodyDiv w:val="1"/>
      <w:marLeft w:val="0"/>
      <w:marRight w:val="0"/>
      <w:marTop w:val="0"/>
      <w:marBottom w:val="0"/>
      <w:divBdr>
        <w:top w:val="none" w:sz="0" w:space="0" w:color="auto"/>
        <w:left w:val="none" w:sz="0" w:space="0" w:color="auto"/>
        <w:bottom w:val="none" w:sz="0" w:space="0" w:color="auto"/>
        <w:right w:val="none" w:sz="0" w:space="0" w:color="auto"/>
      </w:divBdr>
    </w:div>
    <w:div w:id="1170292328">
      <w:bodyDiv w:val="1"/>
      <w:marLeft w:val="0"/>
      <w:marRight w:val="0"/>
      <w:marTop w:val="0"/>
      <w:marBottom w:val="0"/>
      <w:divBdr>
        <w:top w:val="none" w:sz="0" w:space="0" w:color="auto"/>
        <w:left w:val="none" w:sz="0" w:space="0" w:color="auto"/>
        <w:bottom w:val="none" w:sz="0" w:space="0" w:color="auto"/>
        <w:right w:val="none" w:sz="0" w:space="0" w:color="auto"/>
      </w:divBdr>
    </w:div>
    <w:div w:id="1174874834">
      <w:bodyDiv w:val="1"/>
      <w:marLeft w:val="0"/>
      <w:marRight w:val="0"/>
      <w:marTop w:val="0"/>
      <w:marBottom w:val="0"/>
      <w:divBdr>
        <w:top w:val="none" w:sz="0" w:space="0" w:color="auto"/>
        <w:left w:val="none" w:sz="0" w:space="0" w:color="auto"/>
        <w:bottom w:val="none" w:sz="0" w:space="0" w:color="auto"/>
        <w:right w:val="none" w:sz="0" w:space="0" w:color="auto"/>
      </w:divBdr>
    </w:div>
    <w:div w:id="1186095963">
      <w:bodyDiv w:val="1"/>
      <w:marLeft w:val="0"/>
      <w:marRight w:val="0"/>
      <w:marTop w:val="0"/>
      <w:marBottom w:val="0"/>
      <w:divBdr>
        <w:top w:val="none" w:sz="0" w:space="0" w:color="auto"/>
        <w:left w:val="none" w:sz="0" w:space="0" w:color="auto"/>
        <w:bottom w:val="none" w:sz="0" w:space="0" w:color="auto"/>
        <w:right w:val="none" w:sz="0" w:space="0" w:color="auto"/>
      </w:divBdr>
    </w:div>
    <w:div w:id="1189375681">
      <w:bodyDiv w:val="1"/>
      <w:marLeft w:val="0"/>
      <w:marRight w:val="0"/>
      <w:marTop w:val="0"/>
      <w:marBottom w:val="0"/>
      <w:divBdr>
        <w:top w:val="none" w:sz="0" w:space="0" w:color="auto"/>
        <w:left w:val="none" w:sz="0" w:space="0" w:color="auto"/>
        <w:bottom w:val="none" w:sz="0" w:space="0" w:color="auto"/>
        <w:right w:val="none" w:sz="0" w:space="0" w:color="auto"/>
      </w:divBdr>
    </w:div>
    <w:div w:id="1190415278">
      <w:bodyDiv w:val="1"/>
      <w:marLeft w:val="0"/>
      <w:marRight w:val="0"/>
      <w:marTop w:val="0"/>
      <w:marBottom w:val="0"/>
      <w:divBdr>
        <w:top w:val="none" w:sz="0" w:space="0" w:color="auto"/>
        <w:left w:val="none" w:sz="0" w:space="0" w:color="auto"/>
        <w:bottom w:val="none" w:sz="0" w:space="0" w:color="auto"/>
        <w:right w:val="none" w:sz="0" w:space="0" w:color="auto"/>
      </w:divBdr>
    </w:div>
    <w:div w:id="1209495596">
      <w:bodyDiv w:val="1"/>
      <w:marLeft w:val="0"/>
      <w:marRight w:val="0"/>
      <w:marTop w:val="0"/>
      <w:marBottom w:val="0"/>
      <w:divBdr>
        <w:top w:val="none" w:sz="0" w:space="0" w:color="auto"/>
        <w:left w:val="none" w:sz="0" w:space="0" w:color="auto"/>
        <w:bottom w:val="none" w:sz="0" w:space="0" w:color="auto"/>
        <w:right w:val="none" w:sz="0" w:space="0" w:color="auto"/>
      </w:divBdr>
    </w:div>
    <w:div w:id="1211577834">
      <w:bodyDiv w:val="1"/>
      <w:marLeft w:val="0"/>
      <w:marRight w:val="0"/>
      <w:marTop w:val="0"/>
      <w:marBottom w:val="0"/>
      <w:divBdr>
        <w:top w:val="none" w:sz="0" w:space="0" w:color="auto"/>
        <w:left w:val="none" w:sz="0" w:space="0" w:color="auto"/>
        <w:bottom w:val="none" w:sz="0" w:space="0" w:color="auto"/>
        <w:right w:val="none" w:sz="0" w:space="0" w:color="auto"/>
      </w:divBdr>
    </w:div>
    <w:div w:id="1216350409">
      <w:bodyDiv w:val="1"/>
      <w:marLeft w:val="0"/>
      <w:marRight w:val="0"/>
      <w:marTop w:val="0"/>
      <w:marBottom w:val="0"/>
      <w:divBdr>
        <w:top w:val="none" w:sz="0" w:space="0" w:color="auto"/>
        <w:left w:val="none" w:sz="0" w:space="0" w:color="auto"/>
        <w:bottom w:val="none" w:sz="0" w:space="0" w:color="auto"/>
        <w:right w:val="none" w:sz="0" w:space="0" w:color="auto"/>
      </w:divBdr>
      <w:divsChild>
        <w:div w:id="1999962961">
          <w:marLeft w:val="0"/>
          <w:marRight w:val="0"/>
          <w:marTop w:val="360"/>
          <w:marBottom w:val="0"/>
          <w:divBdr>
            <w:top w:val="none" w:sz="0" w:space="0" w:color="auto"/>
            <w:left w:val="none" w:sz="0" w:space="0" w:color="auto"/>
            <w:bottom w:val="none" w:sz="0" w:space="0" w:color="auto"/>
            <w:right w:val="none" w:sz="0" w:space="0" w:color="auto"/>
          </w:divBdr>
        </w:div>
      </w:divsChild>
    </w:div>
    <w:div w:id="1268192008">
      <w:bodyDiv w:val="1"/>
      <w:marLeft w:val="0"/>
      <w:marRight w:val="0"/>
      <w:marTop w:val="0"/>
      <w:marBottom w:val="0"/>
      <w:divBdr>
        <w:top w:val="none" w:sz="0" w:space="0" w:color="auto"/>
        <w:left w:val="none" w:sz="0" w:space="0" w:color="auto"/>
        <w:bottom w:val="none" w:sz="0" w:space="0" w:color="auto"/>
        <w:right w:val="none" w:sz="0" w:space="0" w:color="auto"/>
      </w:divBdr>
    </w:div>
    <w:div w:id="1274359034">
      <w:bodyDiv w:val="1"/>
      <w:marLeft w:val="0"/>
      <w:marRight w:val="0"/>
      <w:marTop w:val="0"/>
      <w:marBottom w:val="0"/>
      <w:divBdr>
        <w:top w:val="none" w:sz="0" w:space="0" w:color="auto"/>
        <w:left w:val="none" w:sz="0" w:space="0" w:color="auto"/>
        <w:bottom w:val="none" w:sz="0" w:space="0" w:color="auto"/>
        <w:right w:val="none" w:sz="0" w:space="0" w:color="auto"/>
      </w:divBdr>
    </w:div>
    <w:div w:id="1275332286">
      <w:bodyDiv w:val="1"/>
      <w:marLeft w:val="0"/>
      <w:marRight w:val="0"/>
      <w:marTop w:val="0"/>
      <w:marBottom w:val="0"/>
      <w:divBdr>
        <w:top w:val="none" w:sz="0" w:space="0" w:color="auto"/>
        <w:left w:val="none" w:sz="0" w:space="0" w:color="auto"/>
        <w:bottom w:val="none" w:sz="0" w:space="0" w:color="auto"/>
        <w:right w:val="none" w:sz="0" w:space="0" w:color="auto"/>
      </w:divBdr>
    </w:div>
    <w:div w:id="1280600282">
      <w:bodyDiv w:val="1"/>
      <w:marLeft w:val="0"/>
      <w:marRight w:val="0"/>
      <w:marTop w:val="0"/>
      <w:marBottom w:val="0"/>
      <w:divBdr>
        <w:top w:val="none" w:sz="0" w:space="0" w:color="auto"/>
        <w:left w:val="none" w:sz="0" w:space="0" w:color="auto"/>
        <w:bottom w:val="none" w:sz="0" w:space="0" w:color="auto"/>
        <w:right w:val="none" w:sz="0" w:space="0" w:color="auto"/>
      </w:divBdr>
    </w:div>
    <w:div w:id="1288313358">
      <w:bodyDiv w:val="1"/>
      <w:marLeft w:val="0"/>
      <w:marRight w:val="0"/>
      <w:marTop w:val="0"/>
      <w:marBottom w:val="0"/>
      <w:divBdr>
        <w:top w:val="none" w:sz="0" w:space="0" w:color="auto"/>
        <w:left w:val="none" w:sz="0" w:space="0" w:color="auto"/>
        <w:bottom w:val="none" w:sz="0" w:space="0" w:color="auto"/>
        <w:right w:val="none" w:sz="0" w:space="0" w:color="auto"/>
      </w:divBdr>
    </w:div>
    <w:div w:id="1311518674">
      <w:bodyDiv w:val="1"/>
      <w:marLeft w:val="0"/>
      <w:marRight w:val="0"/>
      <w:marTop w:val="0"/>
      <w:marBottom w:val="0"/>
      <w:divBdr>
        <w:top w:val="none" w:sz="0" w:space="0" w:color="auto"/>
        <w:left w:val="none" w:sz="0" w:space="0" w:color="auto"/>
        <w:bottom w:val="none" w:sz="0" w:space="0" w:color="auto"/>
        <w:right w:val="none" w:sz="0" w:space="0" w:color="auto"/>
      </w:divBdr>
    </w:div>
    <w:div w:id="1315451552">
      <w:bodyDiv w:val="1"/>
      <w:marLeft w:val="0"/>
      <w:marRight w:val="0"/>
      <w:marTop w:val="0"/>
      <w:marBottom w:val="0"/>
      <w:divBdr>
        <w:top w:val="none" w:sz="0" w:space="0" w:color="auto"/>
        <w:left w:val="none" w:sz="0" w:space="0" w:color="auto"/>
        <w:bottom w:val="none" w:sz="0" w:space="0" w:color="auto"/>
        <w:right w:val="none" w:sz="0" w:space="0" w:color="auto"/>
      </w:divBdr>
    </w:div>
    <w:div w:id="1318995736">
      <w:bodyDiv w:val="1"/>
      <w:marLeft w:val="0"/>
      <w:marRight w:val="0"/>
      <w:marTop w:val="0"/>
      <w:marBottom w:val="0"/>
      <w:divBdr>
        <w:top w:val="none" w:sz="0" w:space="0" w:color="auto"/>
        <w:left w:val="none" w:sz="0" w:space="0" w:color="auto"/>
        <w:bottom w:val="none" w:sz="0" w:space="0" w:color="auto"/>
        <w:right w:val="none" w:sz="0" w:space="0" w:color="auto"/>
      </w:divBdr>
    </w:div>
    <w:div w:id="1322851577">
      <w:bodyDiv w:val="1"/>
      <w:marLeft w:val="0"/>
      <w:marRight w:val="0"/>
      <w:marTop w:val="0"/>
      <w:marBottom w:val="0"/>
      <w:divBdr>
        <w:top w:val="none" w:sz="0" w:space="0" w:color="auto"/>
        <w:left w:val="none" w:sz="0" w:space="0" w:color="auto"/>
        <w:bottom w:val="none" w:sz="0" w:space="0" w:color="auto"/>
        <w:right w:val="none" w:sz="0" w:space="0" w:color="auto"/>
      </w:divBdr>
    </w:div>
    <w:div w:id="1327906206">
      <w:bodyDiv w:val="1"/>
      <w:marLeft w:val="0"/>
      <w:marRight w:val="0"/>
      <w:marTop w:val="0"/>
      <w:marBottom w:val="0"/>
      <w:divBdr>
        <w:top w:val="none" w:sz="0" w:space="0" w:color="auto"/>
        <w:left w:val="none" w:sz="0" w:space="0" w:color="auto"/>
        <w:bottom w:val="none" w:sz="0" w:space="0" w:color="auto"/>
        <w:right w:val="none" w:sz="0" w:space="0" w:color="auto"/>
      </w:divBdr>
      <w:divsChild>
        <w:div w:id="729962564">
          <w:marLeft w:val="0"/>
          <w:marRight w:val="0"/>
          <w:marTop w:val="0"/>
          <w:marBottom w:val="0"/>
          <w:divBdr>
            <w:top w:val="none" w:sz="0" w:space="0" w:color="auto"/>
            <w:left w:val="none" w:sz="0" w:space="0" w:color="auto"/>
            <w:bottom w:val="none" w:sz="0" w:space="0" w:color="auto"/>
            <w:right w:val="none" w:sz="0" w:space="0" w:color="auto"/>
          </w:divBdr>
          <w:divsChild>
            <w:div w:id="546335039">
              <w:marLeft w:val="0"/>
              <w:marRight w:val="0"/>
              <w:marTop w:val="0"/>
              <w:marBottom w:val="0"/>
              <w:divBdr>
                <w:top w:val="none" w:sz="0" w:space="0" w:color="auto"/>
                <w:left w:val="none" w:sz="0" w:space="0" w:color="auto"/>
                <w:bottom w:val="none" w:sz="0" w:space="0" w:color="auto"/>
                <w:right w:val="none" w:sz="0" w:space="0" w:color="auto"/>
              </w:divBdr>
              <w:divsChild>
                <w:div w:id="22244671">
                  <w:marLeft w:val="0"/>
                  <w:marRight w:val="0"/>
                  <w:marTop w:val="0"/>
                  <w:marBottom w:val="0"/>
                  <w:divBdr>
                    <w:top w:val="none" w:sz="0" w:space="0" w:color="auto"/>
                    <w:left w:val="none" w:sz="0" w:space="0" w:color="auto"/>
                    <w:bottom w:val="none" w:sz="0" w:space="0" w:color="auto"/>
                    <w:right w:val="none" w:sz="0" w:space="0" w:color="auto"/>
                  </w:divBdr>
                  <w:divsChild>
                    <w:div w:id="1911116943">
                      <w:marLeft w:val="0"/>
                      <w:marRight w:val="0"/>
                      <w:marTop w:val="0"/>
                      <w:marBottom w:val="0"/>
                      <w:divBdr>
                        <w:top w:val="none" w:sz="0" w:space="0" w:color="auto"/>
                        <w:left w:val="none" w:sz="0" w:space="0" w:color="auto"/>
                        <w:bottom w:val="none" w:sz="0" w:space="0" w:color="auto"/>
                        <w:right w:val="single" w:sz="18" w:space="0" w:color="F9F9F9"/>
                      </w:divBdr>
                      <w:divsChild>
                        <w:div w:id="552891983">
                          <w:marLeft w:val="0"/>
                          <w:marRight w:val="3"/>
                          <w:marTop w:val="0"/>
                          <w:marBottom w:val="600"/>
                          <w:divBdr>
                            <w:top w:val="none" w:sz="0" w:space="0" w:color="auto"/>
                            <w:left w:val="none" w:sz="0" w:space="0" w:color="auto"/>
                            <w:bottom w:val="none" w:sz="0" w:space="0" w:color="auto"/>
                            <w:right w:val="none" w:sz="0" w:space="0" w:color="auto"/>
                          </w:divBdr>
                          <w:divsChild>
                            <w:div w:id="510875214">
                              <w:marLeft w:val="0"/>
                              <w:marRight w:val="0"/>
                              <w:marTop w:val="0"/>
                              <w:marBottom w:val="0"/>
                              <w:divBdr>
                                <w:top w:val="none" w:sz="0" w:space="0" w:color="auto"/>
                                <w:left w:val="none" w:sz="0" w:space="0" w:color="auto"/>
                                <w:bottom w:val="none" w:sz="0" w:space="0" w:color="auto"/>
                                <w:right w:val="none" w:sz="0" w:space="0" w:color="auto"/>
                              </w:divBdr>
                              <w:divsChild>
                                <w:div w:id="1123773335">
                                  <w:marLeft w:val="0"/>
                                  <w:marRight w:val="0"/>
                                  <w:marTop w:val="0"/>
                                  <w:marBottom w:val="0"/>
                                  <w:divBdr>
                                    <w:top w:val="none" w:sz="0" w:space="0" w:color="auto"/>
                                    <w:left w:val="none" w:sz="0" w:space="0" w:color="auto"/>
                                    <w:bottom w:val="none" w:sz="0" w:space="0" w:color="auto"/>
                                    <w:right w:val="none" w:sz="0" w:space="0" w:color="auto"/>
                                  </w:divBdr>
                                  <w:divsChild>
                                    <w:div w:id="1265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695852">
      <w:bodyDiv w:val="1"/>
      <w:marLeft w:val="0"/>
      <w:marRight w:val="0"/>
      <w:marTop w:val="0"/>
      <w:marBottom w:val="0"/>
      <w:divBdr>
        <w:top w:val="none" w:sz="0" w:space="0" w:color="auto"/>
        <w:left w:val="none" w:sz="0" w:space="0" w:color="auto"/>
        <w:bottom w:val="none" w:sz="0" w:space="0" w:color="auto"/>
        <w:right w:val="none" w:sz="0" w:space="0" w:color="auto"/>
      </w:divBdr>
    </w:div>
    <w:div w:id="1373504820">
      <w:bodyDiv w:val="1"/>
      <w:marLeft w:val="0"/>
      <w:marRight w:val="0"/>
      <w:marTop w:val="0"/>
      <w:marBottom w:val="0"/>
      <w:divBdr>
        <w:top w:val="none" w:sz="0" w:space="0" w:color="auto"/>
        <w:left w:val="none" w:sz="0" w:space="0" w:color="auto"/>
        <w:bottom w:val="none" w:sz="0" w:space="0" w:color="auto"/>
        <w:right w:val="none" w:sz="0" w:space="0" w:color="auto"/>
      </w:divBdr>
    </w:div>
    <w:div w:id="1393574633">
      <w:bodyDiv w:val="1"/>
      <w:marLeft w:val="0"/>
      <w:marRight w:val="0"/>
      <w:marTop w:val="0"/>
      <w:marBottom w:val="0"/>
      <w:divBdr>
        <w:top w:val="none" w:sz="0" w:space="0" w:color="auto"/>
        <w:left w:val="none" w:sz="0" w:space="0" w:color="auto"/>
        <w:bottom w:val="none" w:sz="0" w:space="0" w:color="auto"/>
        <w:right w:val="none" w:sz="0" w:space="0" w:color="auto"/>
      </w:divBdr>
    </w:div>
    <w:div w:id="1399864886">
      <w:bodyDiv w:val="1"/>
      <w:marLeft w:val="0"/>
      <w:marRight w:val="0"/>
      <w:marTop w:val="0"/>
      <w:marBottom w:val="0"/>
      <w:divBdr>
        <w:top w:val="none" w:sz="0" w:space="0" w:color="auto"/>
        <w:left w:val="none" w:sz="0" w:space="0" w:color="auto"/>
        <w:bottom w:val="none" w:sz="0" w:space="0" w:color="auto"/>
        <w:right w:val="none" w:sz="0" w:space="0" w:color="auto"/>
      </w:divBdr>
    </w:div>
    <w:div w:id="1401513833">
      <w:bodyDiv w:val="1"/>
      <w:marLeft w:val="0"/>
      <w:marRight w:val="0"/>
      <w:marTop w:val="0"/>
      <w:marBottom w:val="0"/>
      <w:divBdr>
        <w:top w:val="none" w:sz="0" w:space="0" w:color="auto"/>
        <w:left w:val="none" w:sz="0" w:space="0" w:color="auto"/>
        <w:bottom w:val="none" w:sz="0" w:space="0" w:color="auto"/>
        <w:right w:val="none" w:sz="0" w:space="0" w:color="auto"/>
      </w:divBdr>
    </w:div>
    <w:div w:id="1403410254">
      <w:bodyDiv w:val="1"/>
      <w:marLeft w:val="0"/>
      <w:marRight w:val="0"/>
      <w:marTop w:val="0"/>
      <w:marBottom w:val="0"/>
      <w:divBdr>
        <w:top w:val="none" w:sz="0" w:space="0" w:color="auto"/>
        <w:left w:val="none" w:sz="0" w:space="0" w:color="auto"/>
        <w:bottom w:val="none" w:sz="0" w:space="0" w:color="auto"/>
        <w:right w:val="none" w:sz="0" w:space="0" w:color="auto"/>
      </w:divBdr>
    </w:div>
    <w:div w:id="1416704666">
      <w:bodyDiv w:val="1"/>
      <w:marLeft w:val="0"/>
      <w:marRight w:val="0"/>
      <w:marTop w:val="0"/>
      <w:marBottom w:val="0"/>
      <w:divBdr>
        <w:top w:val="none" w:sz="0" w:space="0" w:color="auto"/>
        <w:left w:val="none" w:sz="0" w:space="0" w:color="auto"/>
        <w:bottom w:val="none" w:sz="0" w:space="0" w:color="auto"/>
        <w:right w:val="none" w:sz="0" w:space="0" w:color="auto"/>
      </w:divBdr>
    </w:div>
    <w:div w:id="1433284128">
      <w:bodyDiv w:val="1"/>
      <w:marLeft w:val="0"/>
      <w:marRight w:val="0"/>
      <w:marTop w:val="0"/>
      <w:marBottom w:val="0"/>
      <w:divBdr>
        <w:top w:val="none" w:sz="0" w:space="0" w:color="auto"/>
        <w:left w:val="none" w:sz="0" w:space="0" w:color="auto"/>
        <w:bottom w:val="none" w:sz="0" w:space="0" w:color="auto"/>
        <w:right w:val="none" w:sz="0" w:space="0" w:color="auto"/>
      </w:divBdr>
    </w:div>
    <w:div w:id="1444884405">
      <w:bodyDiv w:val="1"/>
      <w:marLeft w:val="0"/>
      <w:marRight w:val="0"/>
      <w:marTop w:val="0"/>
      <w:marBottom w:val="0"/>
      <w:divBdr>
        <w:top w:val="none" w:sz="0" w:space="0" w:color="auto"/>
        <w:left w:val="none" w:sz="0" w:space="0" w:color="auto"/>
        <w:bottom w:val="none" w:sz="0" w:space="0" w:color="auto"/>
        <w:right w:val="none" w:sz="0" w:space="0" w:color="auto"/>
      </w:divBdr>
    </w:div>
    <w:div w:id="1464735519">
      <w:bodyDiv w:val="1"/>
      <w:marLeft w:val="0"/>
      <w:marRight w:val="0"/>
      <w:marTop w:val="0"/>
      <w:marBottom w:val="0"/>
      <w:divBdr>
        <w:top w:val="none" w:sz="0" w:space="0" w:color="auto"/>
        <w:left w:val="none" w:sz="0" w:space="0" w:color="auto"/>
        <w:bottom w:val="none" w:sz="0" w:space="0" w:color="auto"/>
        <w:right w:val="none" w:sz="0" w:space="0" w:color="auto"/>
      </w:divBdr>
    </w:div>
    <w:div w:id="1513178099">
      <w:bodyDiv w:val="1"/>
      <w:marLeft w:val="0"/>
      <w:marRight w:val="0"/>
      <w:marTop w:val="0"/>
      <w:marBottom w:val="0"/>
      <w:divBdr>
        <w:top w:val="none" w:sz="0" w:space="0" w:color="auto"/>
        <w:left w:val="none" w:sz="0" w:space="0" w:color="auto"/>
        <w:bottom w:val="none" w:sz="0" w:space="0" w:color="auto"/>
        <w:right w:val="none" w:sz="0" w:space="0" w:color="auto"/>
      </w:divBdr>
    </w:div>
    <w:div w:id="1518235395">
      <w:bodyDiv w:val="1"/>
      <w:marLeft w:val="0"/>
      <w:marRight w:val="0"/>
      <w:marTop w:val="0"/>
      <w:marBottom w:val="0"/>
      <w:divBdr>
        <w:top w:val="none" w:sz="0" w:space="0" w:color="auto"/>
        <w:left w:val="none" w:sz="0" w:space="0" w:color="auto"/>
        <w:bottom w:val="none" w:sz="0" w:space="0" w:color="auto"/>
        <w:right w:val="none" w:sz="0" w:space="0" w:color="auto"/>
      </w:divBdr>
    </w:div>
    <w:div w:id="1521773195">
      <w:bodyDiv w:val="1"/>
      <w:marLeft w:val="0"/>
      <w:marRight w:val="0"/>
      <w:marTop w:val="0"/>
      <w:marBottom w:val="0"/>
      <w:divBdr>
        <w:top w:val="none" w:sz="0" w:space="0" w:color="auto"/>
        <w:left w:val="none" w:sz="0" w:space="0" w:color="auto"/>
        <w:bottom w:val="none" w:sz="0" w:space="0" w:color="auto"/>
        <w:right w:val="none" w:sz="0" w:space="0" w:color="auto"/>
      </w:divBdr>
    </w:div>
    <w:div w:id="1530296986">
      <w:bodyDiv w:val="1"/>
      <w:marLeft w:val="0"/>
      <w:marRight w:val="0"/>
      <w:marTop w:val="0"/>
      <w:marBottom w:val="0"/>
      <w:divBdr>
        <w:top w:val="none" w:sz="0" w:space="0" w:color="auto"/>
        <w:left w:val="none" w:sz="0" w:space="0" w:color="auto"/>
        <w:bottom w:val="none" w:sz="0" w:space="0" w:color="auto"/>
        <w:right w:val="none" w:sz="0" w:space="0" w:color="auto"/>
      </w:divBdr>
    </w:div>
    <w:div w:id="1535927972">
      <w:bodyDiv w:val="1"/>
      <w:marLeft w:val="0"/>
      <w:marRight w:val="0"/>
      <w:marTop w:val="0"/>
      <w:marBottom w:val="0"/>
      <w:divBdr>
        <w:top w:val="none" w:sz="0" w:space="0" w:color="auto"/>
        <w:left w:val="none" w:sz="0" w:space="0" w:color="auto"/>
        <w:bottom w:val="none" w:sz="0" w:space="0" w:color="auto"/>
        <w:right w:val="none" w:sz="0" w:space="0" w:color="auto"/>
      </w:divBdr>
    </w:div>
    <w:div w:id="1542405000">
      <w:bodyDiv w:val="1"/>
      <w:marLeft w:val="0"/>
      <w:marRight w:val="0"/>
      <w:marTop w:val="0"/>
      <w:marBottom w:val="0"/>
      <w:divBdr>
        <w:top w:val="none" w:sz="0" w:space="0" w:color="auto"/>
        <w:left w:val="none" w:sz="0" w:space="0" w:color="auto"/>
        <w:bottom w:val="none" w:sz="0" w:space="0" w:color="auto"/>
        <w:right w:val="none" w:sz="0" w:space="0" w:color="auto"/>
      </w:divBdr>
    </w:div>
    <w:div w:id="1543056685">
      <w:bodyDiv w:val="1"/>
      <w:marLeft w:val="0"/>
      <w:marRight w:val="0"/>
      <w:marTop w:val="0"/>
      <w:marBottom w:val="0"/>
      <w:divBdr>
        <w:top w:val="none" w:sz="0" w:space="0" w:color="auto"/>
        <w:left w:val="none" w:sz="0" w:space="0" w:color="auto"/>
        <w:bottom w:val="none" w:sz="0" w:space="0" w:color="auto"/>
        <w:right w:val="none" w:sz="0" w:space="0" w:color="auto"/>
      </w:divBdr>
    </w:div>
    <w:div w:id="1570117798">
      <w:bodyDiv w:val="1"/>
      <w:marLeft w:val="0"/>
      <w:marRight w:val="0"/>
      <w:marTop w:val="0"/>
      <w:marBottom w:val="0"/>
      <w:divBdr>
        <w:top w:val="none" w:sz="0" w:space="0" w:color="auto"/>
        <w:left w:val="none" w:sz="0" w:space="0" w:color="auto"/>
        <w:bottom w:val="none" w:sz="0" w:space="0" w:color="auto"/>
        <w:right w:val="none" w:sz="0" w:space="0" w:color="auto"/>
      </w:divBdr>
    </w:div>
    <w:div w:id="1599408186">
      <w:bodyDiv w:val="1"/>
      <w:marLeft w:val="0"/>
      <w:marRight w:val="0"/>
      <w:marTop w:val="0"/>
      <w:marBottom w:val="0"/>
      <w:divBdr>
        <w:top w:val="none" w:sz="0" w:space="0" w:color="auto"/>
        <w:left w:val="none" w:sz="0" w:space="0" w:color="auto"/>
        <w:bottom w:val="none" w:sz="0" w:space="0" w:color="auto"/>
        <w:right w:val="none" w:sz="0" w:space="0" w:color="auto"/>
      </w:divBdr>
    </w:div>
    <w:div w:id="1607686978">
      <w:bodyDiv w:val="1"/>
      <w:marLeft w:val="0"/>
      <w:marRight w:val="0"/>
      <w:marTop w:val="0"/>
      <w:marBottom w:val="0"/>
      <w:divBdr>
        <w:top w:val="none" w:sz="0" w:space="0" w:color="auto"/>
        <w:left w:val="none" w:sz="0" w:space="0" w:color="auto"/>
        <w:bottom w:val="none" w:sz="0" w:space="0" w:color="auto"/>
        <w:right w:val="none" w:sz="0" w:space="0" w:color="auto"/>
      </w:divBdr>
    </w:div>
    <w:div w:id="1624653046">
      <w:bodyDiv w:val="1"/>
      <w:marLeft w:val="0"/>
      <w:marRight w:val="0"/>
      <w:marTop w:val="0"/>
      <w:marBottom w:val="0"/>
      <w:divBdr>
        <w:top w:val="none" w:sz="0" w:space="0" w:color="auto"/>
        <w:left w:val="none" w:sz="0" w:space="0" w:color="auto"/>
        <w:bottom w:val="none" w:sz="0" w:space="0" w:color="auto"/>
        <w:right w:val="none" w:sz="0" w:space="0" w:color="auto"/>
      </w:divBdr>
    </w:div>
    <w:div w:id="1633949398">
      <w:bodyDiv w:val="1"/>
      <w:marLeft w:val="0"/>
      <w:marRight w:val="0"/>
      <w:marTop w:val="0"/>
      <w:marBottom w:val="0"/>
      <w:divBdr>
        <w:top w:val="none" w:sz="0" w:space="0" w:color="auto"/>
        <w:left w:val="none" w:sz="0" w:space="0" w:color="auto"/>
        <w:bottom w:val="none" w:sz="0" w:space="0" w:color="auto"/>
        <w:right w:val="none" w:sz="0" w:space="0" w:color="auto"/>
      </w:divBdr>
    </w:div>
    <w:div w:id="1645885532">
      <w:bodyDiv w:val="1"/>
      <w:marLeft w:val="0"/>
      <w:marRight w:val="0"/>
      <w:marTop w:val="0"/>
      <w:marBottom w:val="0"/>
      <w:divBdr>
        <w:top w:val="none" w:sz="0" w:space="0" w:color="auto"/>
        <w:left w:val="none" w:sz="0" w:space="0" w:color="auto"/>
        <w:bottom w:val="none" w:sz="0" w:space="0" w:color="auto"/>
        <w:right w:val="none" w:sz="0" w:space="0" w:color="auto"/>
      </w:divBdr>
    </w:div>
    <w:div w:id="1647053878">
      <w:bodyDiv w:val="1"/>
      <w:marLeft w:val="0"/>
      <w:marRight w:val="0"/>
      <w:marTop w:val="0"/>
      <w:marBottom w:val="0"/>
      <w:divBdr>
        <w:top w:val="none" w:sz="0" w:space="0" w:color="auto"/>
        <w:left w:val="none" w:sz="0" w:space="0" w:color="auto"/>
        <w:bottom w:val="none" w:sz="0" w:space="0" w:color="auto"/>
        <w:right w:val="none" w:sz="0" w:space="0" w:color="auto"/>
      </w:divBdr>
    </w:div>
    <w:div w:id="1649935477">
      <w:bodyDiv w:val="1"/>
      <w:marLeft w:val="0"/>
      <w:marRight w:val="0"/>
      <w:marTop w:val="0"/>
      <w:marBottom w:val="0"/>
      <w:divBdr>
        <w:top w:val="none" w:sz="0" w:space="0" w:color="auto"/>
        <w:left w:val="none" w:sz="0" w:space="0" w:color="auto"/>
        <w:bottom w:val="none" w:sz="0" w:space="0" w:color="auto"/>
        <w:right w:val="none" w:sz="0" w:space="0" w:color="auto"/>
      </w:divBdr>
    </w:div>
    <w:div w:id="1653606995">
      <w:bodyDiv w:val="1"/>
      <w:marLeft w:val="0"/>
      <w:marRight w:val="0"/>
      <w:marTop w:val="0"/>
      <w:marBottom w:val="0"/>
      <w:divBdr>
        <w:top w:val="none" w:sz="0" w:space="0" w:color="auto"/>
        <w:left w:val="none" w:sz="0" w:space="0" w:color="auto"/>
        <w:bottom w:val="none" w:sz="0" w:space="0" w:color="auto"/>
        <w:right w:val="none" w:sz="0" w:space="0" w:color="auto"/>
      </w:divBdr>
    </w:div>
    <w:div w:id="1695232063">
      <w:bodyDiv w:val="1"/>
      <w:marLeft w:val="0"/>
      <w:marRight w:val="0"/>
      <w:marTop w:val="0"/>
      <w:marBottom w:val="0"/>
      <w:divBdr>
        <w:top w:val="none" w:sz="0" w:space="0" w:color="auto"/>
        <w:left w:val="none" w:sz="0" w:space="0" w:color="auto"/>
        <w:bottom w:val="none" w:sz="0" w:space="0" w:color="auto"/>
        <w:right w:val="none" w:sz="0" w:space="0" w:color="auto"/>
      </w:divBdr>
    </w:div>
    <w:div w:id="1706903285">
      <w:bodyDiv w:val="1"/>
      <w:marLeft w:val="0"/>
      <w:marRight w:val="0"/>
      <w:marTop w:val="0"/>
      <w:marBottom w:val="0"/>
      <w:divBdr>
        <w:top w:val="none" w:sz="0" w:space="0" w:color="auto"/>
        <w:left w:val="none" w:sz="0" w:space="0" w:color="auto"/>
        <w:bottom w:val="none" w:sz="0" w:space="0" w:color="auto"/>
        <w:right w:val="none" w:sz="0" w:space="0" w:color="auto"/>
      </w:divBdr>
    </w:div>
    <w:div w:id="1716734479">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30835945">
      <w:bodyDiv w:val="1"/>
      <w:marLeft w:val="0"/>
      <w:marRight w:val="0"/>
      <w:marTop w:val="0"/>
      <w:marBottom w:val="0"/>
      <w:divBdr>
        <w:top w:val="none" w:sz="0" w:space="0" w:color="auto"/>
        <w:left w:val="none" w:sz="0" w:space="0" w:color="auto"/>
        <w:bottom w:val="none" w:sz="0" w:space="0" w:color="auto"/>
        <w:right w:val="none" w:sz="0" w:space="0" w:color="auto"/>
      </w:divBdr>
    </w:div>
    <w:div w:id="1738547724">
      <w:bodyDiv w:val="1"/>
      <w:marLeft w:val="0"/>
      <w:marRight w:val="0"/>
      <w:marTop w:val="0"/>
      <w:marBottom w:val="0"/>
      <w:divBdr>
        <w:top w:val="none" w:sz="0" w:space="0" w:color="auto"/>
        <w:left w:val="none" w:sz="0" w:space="0" w:color="auto"/>
        <w:bottom w:val="none" w:sz="0" w:space="0" w:color="auto"/>
        <w:right w:val="none" w:sz="0" w:space="0" w:color="auto"/>
      </w:divBdr>
    </w:div>
    <w:div w:id="1760715024">
      <w:bodyDiv w:val="1"/>
      <w:marLeft w:val="0"/>
      <w:marRight w:val="0"/>
      <w:marTop w:val="0"/>
      <w:marBottom w:val="0"/>
      <w:divBdr>
        <w:top w:val="none" w:sz="0" w:space="0" w:color="auto"/>
        <w:left w:val="none" w:sz="0" w:space="0" w:color="auto"/>
        <w:bottom w:val="none" w:sz="0" w:space="0" w:color="auto"/>
        <w:right w:val="none" w:sz="0" w:space="0" w:color="auto"/>
      </w:divBdr>
    </w:div>
    <w:div w:id="1776292102">
      <w:bodyDiv w:val="1"/>
      <w:marLeft w:val="0"/>
      <w:marRight w:val="0"/>
      <w:marTop w:val="0"/>
      <w:marBottom w:val="0"/>
      <w:divBdr>
        <w:top w:val="none" w:sz="0" w:space="0" w:color="auto"/>
        <w:left w:val="none" w:sz="0" w:space="0" w:color="auto"/>
        <w:bottom w:val="none" w:sz="0" w:space="0" w:color="auto"/>
        <w:right w:val="none" w:sz="0" w:space="0" w:color="auto"/>
      </w:divBdr>
    </w:div>
    <w:div w:id="1781221043">
      <w:bodyDiv w:val="1"/>
      <w:marLeft w:val="0"/>
      <w:marRight w:val="0"/>
      <w:marTop w:val="0"/>
      <w:marBottom w:val="0"/>
      <w:divBdr>
        <w:top w:val="none" w:sz="0" w:space="0" w:color="auto"/>
        <w:left w:val="none" w:sz="0" w:space="0" w:color="auto"/>
        <w:bottom w:val="none" w:sz="0" w:space="0" w:color="auto"/>
        <w:right w:val="none" w:sz="0" w:space="0" w:color="auto"/>
      </w:divBdr>
    </w:div>
    <w:div w:id="1801916535">
      <w:bodyDiv w:val="1"/>
      <w:marLeft w:val="0"/>
      <w:marRight w:val="0"/>
      <w:marTop w:val="0"/>
      <w:marBottom w:val="0"/>
      <w:divBdr>
        <w:top w:val="none" w:sz="0" w:space="0" w:color="auto"/>
        <w:left w:val="none" w:sz="0" w:space="0" w:color="auto"/>
        <w:bottom w:val="none" w:sz="0" w:space="0" w:color="auto"/>
        <w:right w:val="none" w:sz="0" w:space="0" w:color="auto"/>
      </w:divBdr>
    </w:div>
    <w:div w:id="1830056665">
      <w:bodyDiv w:val="1"/>
      <w:marLeft w:val="0"/>
      <w:marRight w:val="0"/>
      <w:marTop w:val="0"/>
      <w:marBottom w:val="0"/>
      <w:divBdr>
        <w:top w:val="none" w:sz="0" w:space="0" w:color="auto"/>
        <w:left w:val="none" w:sz="0" w:space="0" w:color="auto"/>
        <w:bottom w:val="none" w:sz="0" w:space="0" w:color="auto"/>
        <w:right w:val="none" w:sz="0" w:space="0" w:color="auto"/>
      </w:divBdr>
    </w:div>
    <w:div w:id="1835144410">
      <w:bodyDiv w:val="1"/>
      <w:marLeft w:val="0"/>
      <w:marRight w:val="0"/>
      <w:marTop w:val="0"/>
      <w:marBottom w:val="0"/>
      <w:divBdr>
        <w:top w:val="none" w:sz="0" w:space="0" w:color="auto"/>
        <w:left w:val="none" w:sz="0" w:space="0" w:color="auto"/>
        <w:bottom w:val="none" w:sz="0" w:space="0" w:color="auto"/>
        <w:right w:val="none" w:sz="0" w:space="0" w:color="auto"/>
      </w:divBdr>
    </w:div>
    <w:div w:id="1850367966">
      <w:bodyDiv w:val="1"/>
      <w:marLeft w:val="0"/>
      <w:marRight w:val="0"/>
      <w:marTop w:val="0"/>
      <w:marBottom w:val="0"/>
      <w:divBdr>
        <w:top w:val="none" w:sz="0" w:space="0" w:color="auto"/>
        <w:left w:val="none" w:sz="0" w:space="0" w:color="auto"/>
        <w:bottom w:val="none" w:sz="0" w:space="0" w:color="auto"/>
        <w:right w:val="none" w:sz="0" w:space="0" w:color="auto"/>
      </w:divBdr>
    </w:div>
    <w:div w:id="1852572332">
      <w:bodyDiv w:val="1"/>
      <w:marLeft w:val="0"/>
      <w:marRight w:val="0"/>
      <w:marTop w:val="0"/>
      <w:marBottom w:val="0"/>
      <w:divBdr>
        <w:top w:val="none" w:sz="0" w:space="0" w:color="auto"/>
        <w:left w:val="none" w:sz="0" w:space="0" w:color="auto"/>
        <w:bottom w:val="none" w:sz="0" w:space="0" w:color="auto"/>
        <w:right w:val="none" w:sz="0" w:space="0" w:color="auto"/>
      </w:divBdr>
    </w:div>
    <w:div w:id="1855532965">
      <w:bodyDiv w:val="1"/>
      <w:marLeft w:val="0"/>
      <w:marRight w:val="0"/>
      <w:marTop w:val="0"/>
      <w:marBottom w:val="0"/>
      <w:divBdr>
        <w:top w:val="none" w:sz="0" w:space="0" w:color="auto"/>
        <w:left w:val="none" w:sz="0" w:space="0" w:color="auto"/>
        <w:bottom w:val="none" w:sz="0" w:space="0" w:color="auto"/>
        <w:right w:val="none" w:sz="0" w:space="0" w:color="auto"/>
      </w:divBdr>
    </w:div>
    <w:div w:id="1865165676">
      <w:bodyDiv w:val="1"/>
      <w:marLeft w:val="0"/>
      <w:marRight w:val="0"/>
      <w:marTop w:val="0"/>
      <w:marBottom w:val="0"/>
      <w:divBdr>
        <w:top w:val="none" w:sz="0" w:space="0" w:color="auto"/>
        <w:left w:val="none" w:sz="0" w:space="0" w:color="auto"/>
        <w:bottom w:val="none" w:sz="0" w:space="0" w:color="auto"/>
        <w:right w:val="none" w:sz="0" w:space="0" w:color="auto"/>
      </w:divBdr>
    </w:div>
    <w:div w:id="1872566916">
      <w:bodyDiv w:val="1"/>
      <w:marLeft w:val="0"/>
      <w:marRight w:val="0"/>
      <w:marTop w:val="0"/>
      <w:marBottom w:val="0"/>
      <w:divBdr>
        <w:top w:val="none" w:sz="0" w:space="0" w:color="auto"/>
        <w:left w:val="none" w:sz="0" w:space="0" w:color="auto"/>
        <w:bottom w:val="none" w:sz="0" w:space="0" w:color="auto"/>
        <w:right w:val="none" w:sz="0" w:space="0" w:color="auto"/>
      </w:divBdr>
    </w:div>
    <w:div w:id="1882087147">
      <w:bodyDiv w:val="1"/>
      <w:marLeft w:val="0"/>
      <w:marRight w:val="0"/>
      <w:marTop w:val="0"/>
      <w:marBottom w:val="0"/>
      <w:divBdr>
        <w:top w:val="none" w:sz="0" w:space="0" w:color="auto"/>
        <w:left w:val="none" w:sz="0" w:space="0" w:color="auto"/>
        <w:bottom w:val="none" w:sz="0" w:space="0" w:color="auto"/>
        <w:right w:val="none" w:sz="0" w:space="0" w:color="auto"/>
      </w:divBdr>
    </w:div>
    <w:div w:id="1896164222">
      <w:bodyDiv w:val="1"/>
      <w:marLeft w:val="0"/>
      <w:marRight w:val="0"/>
      <w:marTop w:val="0"/>
      <w:marBottom w:val="0"/>
      <w:divBdr>
        <w:top w:val="none" w:sz="0" w:space="0" w:color="auto"/>
        <w:left w:val="none" w:sz="0" w:space="0" w:color="auto"/>
        <w:bottom w:val="none" w:sz="0" w:space="0" w:color="auto"/>
        <w:right w:val="none" w:sz="0" w:space="0" w:color="auto"/>
      </w:divBdr>
    </w:div>
    <w:div w:id="1917395916">
      <w:bodyDiv w:val="1"/>
      <w:marLeft w:val="0"/>
      <w:marRight w:val="0"/>
      <w:marTop w:val="0"/>
      <w:marBottom w:val="0"/>
      <w:divBdr>
        <w:top w:val="none" w:sz="0" w:space="0" w:color="auto"/>
        <w:left w:val="none" w:sz="0" w:space="0" w:color="auto"/>
        <w:bottom w:val="none" w:sz="0" w:space="0" w:color="auto"/>
        <w:right w:val="none" w:sz="0" w:space="0" w:color="auto"/>
      </w:divBdr>
    </w:div>
    <w:div w:id="1930306290">
      <w:bodyDiv w:val="1"/>
      <w:marLeft w:val="0"/>
      <w:marRight w:val="0"/>
      <w:marTop w:val="0"/>
      <w:marBottom w:val="0"/>
      <w:divBdr>
        <w:top w:val="none" w:sz="0" w:space="0" w:color="auto"/>
        <w:left w:val="none" w:sz="0" w:space="0" w:color="auto"/>
        <w:bottom w:val="none" w:sz="0" w:space="0" w:color="auto"/>
        <w:right w:val="none" w:sz="0" w:space="0" w:color="auto"/>
      </w:divBdr>
    </w:div>
    <w:div w:id="1971325808">
      <w:bodyDiv w:val="1"/>
      <w:marLeft w:val="0"/>
      <w:marRight w:val="0"/>
      <w:marTop w:val="0"/>
      <w:marBottom w:val="0"/>
      <w:divBdr>
        <w:top w:val="none" w:sz="0" w:space="0" w:color="auto"/>
        <w:left w:val="none" w:sz="0" w:space="0" w:color="auto"/>
        <w:bottom w:val="none" w:sz="0" w:space="0" w:color="auto"/>
        <w:right w:val="none" w:sz="0" w:space="0" w:color="auto"/>
      </w:divBdr>
    </w:div>
    <w:div w:id="1974434810">
      <w:bodyDiv w:val="1"/>
      <w:marLeft w:val="0"/>
      <w:marRight w:val="0"/>
      <w:marTop w:val="0"/>
      <w:marBottom w:val="0"/>
      <w:divBdr>
        <w:top w:val="none" w:sz="0" w:space="0" w:color="auto"/>
        <w:left w:val="none" w:sz="0" w:space="0" w:color="auto"/>
        <w:bottom w:val="none" w:sz="0" w:space="0" w:color="auto"/>
        <w:right w:val="none" w:sz="0" w:space="0" w:color="auto"/>
      </w:divBdr>
    </w:div>
    <w:div w:id="1975212003">
      <w:bodyDiv w:val="1"/>
      <w:marLeft w:val="0"/>
      <w:marRight w:val="0"/>
      <w:marTop w:val="0"/>
      <w:marBottom w:val="0"/>
      <w:divBdr>
        <w:top w:val="none" w:sz="0" w:space="0" w:color="auto"/>
        <w:left w:val="none" w:sz="0" w:space="0" w:color="auto"/>
        <w:bottom w:val="none" w:sz="0" w:space="0" w:color="auto"/>
        <w:right w:val="none" w:sz="0" w:space="0" w:color="auto"/>
      </w:divBdr>
    </w:div>
    <w:div w:id="1983537972">
      <w:bodyDiv w:val="1"/>
      <w:marLeft w:val="0"/>
      <w:marRight w:val="0"/>
      <w:marTop w:val="0"/>
      <w:marBottom w:val="0"/>
      <w:divBdr>
        <w:top w:val="none" w:sz="0" w:space="0" w:color="auto"/>
        <w:left w:val="none" w:sz="0" w:space="0" w:color="auto"/>
        <w:bottom w:val="none" w:sz="0" w:space="0" w:color="auto"/>
        <w:right w:val="none" w:sz="0" w:space="0" w:color="auto"/>
      </w:divBdr>
    </w:div>
    <w:div w:id="1986083243">
      <w:bodyDiv w:val="1"/>
      <w:marLeft w:val="0"/>
      <w:marRight w:val="0"/>
      <w:marTop w:val="0"/>
      <w:marBottom w:val="0"/>
      <w:divBdr>
        <w:top w:val="none" w:sz="0" w:space="0" w:color="auto"/>
        <w:left w:val="none" w:sz="0" w:space="0" w:color="auto"/>
        <w:bottom w:val="none" w:sz="0" w:space="0" w:color="auto"/>
        <w:right w:val="none" w:sz="0" w:space="0" w:color="auto"/>
      </w:divBdr>
    </w:div>
    <w:div w:id="1994488519">
      <w:bodyDiv w:val="1"/>
      <w:marLeft w:val="0"/>
      <w:marRight w:val="0"/>
      <w:marTop w:val="0"/>
      <w:marBottom w:val="0"/>
      <w:divBdr>
        <w:top w:val="none" w:sz="0" w:space="0" w:color="auto"/>
        <w:left w:val="none" w:sz="0" w:space="0" w:color="auto"/>
        <w:bottom w:val="none" w:sz="0" w:space="0" w:color="auto"/>
        <w:right w:val="none" w:sz="0" w:space="0" w:color="auto"/>
      </w:divBdr>
    </w:div>
    <w:div w:id="1998654938">
      <w:bodyDiv w:val="1"/>
      <w:marLeft w:val="0"/>
      <w:marRight w:val="0"/>
      <w:marTop w:val="0"/>
      <w:marBottom w:val="0"/>
      <w:divBdr>
        <w:top w:val="none" w:sz="0" w:space="0" w:color="auto"/>
        <w:left w:val="none" w:sz="0" w:space="0" w:color="auto"/>
        <w:bottom w:val="none" w:sz="0" w:space="0" w:color="auto"/>
        <w:right w:val="none" w:sz="0" w:space="0" w:color="auto"/>
      </w:divBdr>
    </w:div>
    <w:div w:id="2003584264">
      <w:bodyDiv w:val="1"/>
      <w:marLeft w:val="0"/>
      <w:marRight w:val="0"/>
      <w:marTop w:val="0"/>
      <w:marBottom w:val="0"/>
      <w:divBdr>
        <w:top w:val="none" w:sz="0" w:space="0" w:color="auto"/>
        <w:left w:val="none" w:sz="0" w:space="0" w:color="auto"/>
        <w:bottom w:val="none" w:sz="0" w:space="0" w:color="auto"/>
        <w:right w:val="none" w:sz="0" w:space="0" w:color="auto"/>
      </w:divBdr>
    </w:div>
    <w:div w:id="2021852067">
      <w:bodyDiv w:val="1"/>
      <w:marLeft w:val="0"/>
      <w:marRight w:val="0"/>
      <w:marTop w:val="0"/>
      <w:marBottom w:val="0"/>
      <w:divBdr>
        <w:top w:val="none" w:sz="0" w:space="0" w:color="auto"/>
        <w:left w:val="none" w:sz="0" w:space="0" w:color="auto"/>
        <w:bottom w:val="none" w:sz="0" w:space="0" w:color="auto"/>
        <w:right w:val="none" w:sz="0" w:space="0" w:color="auto"/>
      </w:divBdr>
    </w:div>
    <w:div w:id="2026707147">
      <w:bodyDiv w:val="1"/>
      <w:marLeft w:val="0"/>
      <w:marRight w:val="0"/>
      <w:marTop w:val="0"/>
      <w:marBottom w:val="0"/>
      <w:divBdr>
        <w:top w:val="none" w:sz="0" w:space="0" w:color="auto"/>
        <w:left w:val="none" w:sz="0" w:space="0" w:color="auto"/>
        <w:bottom w:val="none" w:sz="0" w:space="0" w:color="auto"/>
        <w:right w:val="none" w:sz="0" w:space="0" w:color="auto"/>
      </w:divBdr>
    </w:div>
    <w:div w:id="2032100982">
      <w:bodyDiv w:val="1"/>
      <w:marLeft w:val="0"/>
      <w:marRight w:val="0"/>
      <w:marTop w:val="0"/>
      <w:marBottom w:val="0"/>
      <w:divBdr>
        <w:top w:val="none" w:sz="0" w:space="0" w:color="auto"/>
        <w:left w:val="none" w:sz="0" w:space="0" w:color="auto"/>
        <w:bottom w:val="none" w:sz="0" w:space="0" w:color="auto"/>
        <w:right w:val="none" w:sz="0" w:space="0" w:color="auto"/>
      </w:divBdr>
    </w:div>
    <w:div w:id="2038235284">
      <w:bodyDiv w:val="1"/>
      <w:marLeft w:val="0"/>
      <w:marRight w:val="0"/>
      <w:marTop w:val="0"/>
      <w:marBottom w:val="0"/>
      <w:divBdr>
        <w:top w:val="none" w:sz="0" w:space="0" w:color="auto"/>
        <w:left w:val="none" w:sz="0" w:space="0" w:color="auto"/>
        <w:bottom w:val="none" w:sz="0" w:space="0" w:color="auto"/>
        <w:right w:val="none" w:sz="0" w:space="0" w:color="auto"/>
      </w:divBdr>
    </w:div>
    <w:div w:id="2040155768">
      <w:bodyDiv w:val="1"/>
      <w:marLeft w:val="0"/>
      <w:marRight w:val="0"/>
      <w:marTop w:val="0"/>
      <w:marBottom w:val="0"/>
      <w:divBdr>
        <w:top w:val="none" w:sz="0" w:space="0" w:color="auto"/>
        <w:left w:val="none" w:sz="0" w:space="0" w:color="auto"/>
        <w:bottom w:val="none" w:sz="0" w:space="0" w:color="auto"/>
        <w:right w:val="none" w:sz="0" w:space="0" w:color="auto"/>
      </w:divBdr>
    </w:div>
    <w:div w:id="2050646234">
      <w:bodyDiv w:val="1"/>
      <w:marLeft w:val="0"/>
      <w:marRight w:val="0"/>
      <w:marTop w:val="0"/>
      <w:marBottom w:val="0"/>
      <w:divBdr>
        <w:top w:val="none" w:sz="0" w:space="0" w:color="auto"/>
        <w:left w:val="none" w:sz="0" w:space="0" w:color="auto"/>
        <w:bottom w:val="none" w:sz="0" w:space="0" w:color="auto"/>
        <w:right w:val="none" w:sz="0" w:space="0" w:color="auto"/>
      </w:divBdr>
    </w:div>
    <w:div w:id="2052074789">
      <w:bodyDiv w:val="1"/>
      <w:marLeft w:val="0"/>
      <w:marRight w:val="0"/>
      <w:marTop w:val="0"/>
      <w:marBottom w:val="0"/>
      <w:divBdr>
        <w:top w:val="none" w:sz="0" w:space="0" w:color="auto"/>
        <w:left w:val="none" w:sz="0" w:space="0" w:color="auto"/>
        <w:bottom w:val="none" w:sz="0" w:space="0" w:color="auto"/>
        <w:right w:val="none" w:sz="0" w:space="0" w:color="auto"/>
      </w:divBdr>
    </w:div>
    <w:div w:id="2052730397">
      <w:bodyDiv w:val="1"/>
      <w:marLeft w:val="0"/>
      <w:marRight w:val="0"/>
      <w:marTop w:val="0"/>
      <w:marBottom w:val="0"/>
      <w:divBdr>
        <w:top w:val="none" w:sz="0" w:space="0" w:color="auto"/>
        <w:left w:val="none" w:sz="0" w:space="0" w:color="auto"/>
        <w:bottom w:val="none" w:sz="0" w:space="0" w:color="auto"/>
        <w:right w:val="none" w:sz="0" w:space="0" w:color="auto"/>
      </w:divBdr>
    </w:div>
    <w:div w:id="2060518763">
      <w:bodyDiv w:val="1"/>
      <w:marLeft w:val="0"/>
      <w:marRight w:val="0"/>
      <w:marTop w:val="0"/>
      <w:marBottom w:val="0"/>
      <w:divBdr>
        <w:top w:val="none" w:sz="0" w:space="0" w:color="auto"/>
        <w:left w:val="none" w:sz="0" w:space="0" w:color="auto"/>
        <w:bottom w:val="none" w:sz="0" w:space="0" w:color="auto"/>
        <w:right w:val="none" w:sz="0" w:space="0" w:color="auto"/>
      </w:divBdr>
    </w:div>
    <w:div w:id="2064908713">
      <w:bodyDiv w:val="1"/>
      <w:marLeft w:val="0"/>
      <w:marRight w:val="0"/>
      <w:marTop w:val="0"/>
      <w:marBottom w:val="0"/>
      <w:divBdr>
        <w:top w:val="none" w:sz="0" w:space="0" w:color="auto"/>
        <w:left w:val="none" w:sz="0" w:space="0" w:color="auto"/>
        <w:bottom w:val="none" w:sz="0" w:space="0" w:color="auto"/>
        <w:right w:val="none" w:sz="0" w:space="0" w:color="auto"/>
      </w:divBdr>
    </w:div>
    <w:div w:id="2072192878">
      <w:bodyDiv w:val="1"/>
      <w:marLeft w:val="0"/>
      <w:marRight w:val="0"/>
      <w:marTop w:val="0"/>
      <w:marBottom w:val="0"/>
      <w:divBdr>
        <w:top w:val="none" w:sz="0" w:space="0" w:color="auto"/>
        <w:left w:val="none" w:sz="0" w:space="0" w:color="auto"/>
        <w:bottom w:val="none" w:sz="0" w:space="0" w:color="auto"/>
        <w:right w:val="none" w:sz="0" w:space="0" w:color="auto"/>
      </w:divBdr>
    </w:div>
    <w:div w:id="2087141991">
      <w:bodyDiv w:val="1"/>
      <w:marLeft w:val="0"/>
      <w:marRight w:val="0"/>
      <w:marTop w:val="0"/>
      <w:marBottom w:val="0"/>
      <w:divBdr>
        <w:top w:val="none" w:sz="0" w:space="0" w:color="auto"/>
        <w:left w:val="none" w:sz="0" w:space="0" w:color="auto"/>
        <w:bottom w:val="none" w:sz="0" w:space="0" w:color="auto"/>
        <w:right w:val="none" w:sz="0" w:space="0" w:color="auto"/>
      </w:divBdr>
    </w:div>
    <w:div w:id="2115243948">
      <w:bodyDiv w:val="1"/>
      <w:marLeft w:val="0"/>
      <w:marRight w:val="0"/>
      <w:marTop w:val="0"/>
      <w:marBottom w:val="0"/>
      <w:divBdr>
        <w:top w:val="none" w:sz="0" w:space="0" w:color="auto"/>
        <w:left w:val="none" w:sz="0" w:space="0" w:color="auto"/>
        <w:bottom w:val="none" w:sz="0" w:space="0" w:color="auto"/>
        <w:right w:val="none" w:sz="0" w:space="0" w:color="auto"/>
      </w:divBdr>
    </w:div>
    <w:div w:id="21175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equalityhumanrights.com/en/publication-download/fair-opportunities-all-strategy-reduce-pay-gaps-britain" TargetMode="External"/><Relationship Id="rId2" Type="http://schemas.openxmlformats.org/officeDocument/2006/relationships/numbering" Target="numbering.xml"/><Relationship Id="rId16" Type="http://schemas.openxmlformats.org/officeDocument/2006/relationships/hyperlink" Target="https://gender-pay-gap.service.gov.uk/public/assets/pdf/Evidence-based_actions_for_employer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www.theguardian.com/world/2020/sep/09/nhs-misses-target-of-having-half-its-top-jobs-held-by-women"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nhsemployers.org/publications/next-steps-employers-running-lcea-rounds-202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dsi/2017/9780111153277/content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1%20BHFT%20WORK%20FILES%202020%20to%202022\GENDER%20PAY%20GAP%20main%20and%20reports%20and%20LCEA\2023%20DATA%20YE%202022%20for%20report%20at%20March%202023\221122%20MAIN%20WORKING%20BHFT%208375%20data%20YE%202022%20Amended%20GPG%20copy%20of%20Data%20For%20Diane%20Brow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13%20March%20April%20May%202022\GENDER%20PAY%20GAP\DRAFT%20REPORT\220608%20GPG%20data%20summari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13%20March%20April%20May%202022\GENDER%20PAY%20GAP\DRAFT%20REPORT\220608%20GPG%20data%20summari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13%20March%20April%20May%202022\GENDER%20PAY%20GAP\DRAFT%20REPORT\220608%20GPG%20data%20summari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13%20March%20April%20May%202022\GENDER%20PAY%20GAP\DRAFT%20REPORT\220608%20GPG%20data%20summarie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GB" sz="1200" b="1">
                <a:solidFill>
                  <a:sysClr val="windowText" lastClr="000000"/>
                </a:solidFill>
              </a:rPr>
              <a:t>BHFT PAY QUARTILES</a:t>
            </a:r>
            <a:r>
              <a:rPr lang="en-GB" sz="1200" b="1" baseline="0">
                <a:solidFill>
                  <a:sysClr val="windowText" lastClr="000000"/>
                </a:solidFill>
              </a:rPr>
              <a:t> year ending March 2022 </a:t>
            </a:r>
            <a:endParaRPr lang="en-GB" sz="1200"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'Gender Pay Gap'!$S$5</c:f>
              <c:strCache>
                <c:ptCount val="1"/>
                <c:pt idx="0">
                  <c:v>female 6556 78.6%</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'Gender Pay Gap'!$T$3:$W$4</c:f>
              <c:strCache>
                <c:ptCount val="4"/>
                <c:pt idx="0">
                  <c:v>1 LOWER 83.6% F </c:v>
                </c:pt>
                <c:pt idx="1">
                  <c:v>2 Lower MID 82%</c:v>
                </c:pt>
                <c:pt idx="2">
                  <c:v>3 Upper Mid 83.6%</c:v>
                </c:pt>
                <c:pt idx="3">
                  <c:v>4 TOP 63.4%</c:v>
                </c:pt>
              </c:strCache>
            </c:strRef>
          </c:cat>
          <c:val>
            <c:numRef>
              <c:f>'Gender Pay Gap'!$T$5:$W$5</c:f>
              <c:numCache>
                <c:formatCode>General</c:formatCode>
                <c:ptCount val="4"/>
                <c:pt idx="0">
                  <c:v>1750</c:v>
                </c:pt>
                <c:pt idx="1">
                  <c:v>1710</c:v>
                </c:pt>
                <c:pt idx="2">
                  <c:v>1758</c:v>
                </c:pt>
                <c:pt idx="3">
                  <c:v>1338</c:v>
                </c:pt>
              </c:numCache>
            </c:numRef>
          </c:val>
          <c:smooth val="0"/>
          <c:extLst>
            <c:ext xmlns:c16="http://schemas.microsoft.com/office/drawing/2014/chart" uri="{C3380CC4-5D6E-409C-BE32-E72D297353CC}">
              <c16:uniqueId val="{00000000-4CB8-4114-AC7D-7770A62B65E9}"/>
            </c:ext>
          </c:extLst>
        </c:ser>
        <c:ser>
          <c:idx val="1"/>
          <c:order val="1"/>
          <c:tx>
            <c:strRef>
              <c:f>'Gender Pay Gap'!$S$6</c:f>
              <c:strCache>
                <c:ptCount val="1"/>
                <c:pt idx="0">
                  <c:v>Male 1819 21.4%</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'Gender Pay Gap'!$T$3:$W$4</c:f>
              <c:strCache>
                <c:ptCount val="4"/>
                <c:pt idx="0">
                  <c:v>1 LOWER 83.6% F </c:v>
                </c:pt>
                <c:pt idx="1">
                  <c:v>2 Lower MID 82%</c:v>
                </c:pt>
                <c:pt idx="2">
                  <c:v>3 Upper Mid 83.6%</c:v>
                </c:pt>
                <c:pt idx="3">
                  <c:v>4 TOP 63.4%</c:v>
                </c:pt>
              </c:strCache>
            </c:strRef>
          </c:cat>
          <c:val>
            <c:numRef>
              <c:f>'Gender Pay Gap'!$T$6:$W$6</c:f>
              <c:numCache>
                <c:formatCode>General</c:formatCode>
                <c:ptCount val="4"/>
                <c:pt idx="0" formatCode="0">
                  <c:v>344</c:v>
                </c:pt>
                <c:pt idx="1">
                  <c:v>375</c:v>
                </c:pt>
                <c:pt idx="2">
                  <c:v>344</c:v>
                </c:pt>
                <c:pt idx="3">
                  <c:v>756</c:v>
                </c:pt>
              </c:numCache>
            </c:numRef>
          </c:val>
          <c:smooth val="0"/>
          <c:extLst>
            <c:ext xmlns:c16="http://schemas.microsoft.com/office/drawing/2014/chart" uri="{C3380CC4-5D6E-409C-BE32-E72D297353CC}">
              <c16:uniqueId val="{00000001-4CB8-4114-AC7D-7770A62B65E9}"/>
            </c:ext>
          </c:extLst>
        </c:ser>
        <c:dLbls>
          <c:showLegendKey val="0"/>
          <c:showVal val="0"/>
          <c:showCatName val="0"/>
          <c:showSerName val="0"/>
          <c:showPercent val="0"/>
          <c:showBubbleSize val="0"/>
        </c:dLbls>
        <c:smooth val="0"/>
        <c:axId val="297312488"/>
        <c:axId val="297311312"/>
      </c:lineChart>
      <c:catAx>
        <c:axId val="297312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crossAx val="297311312"/>
        <c:crosses val="autoZero"/>
        <c:auto val="1"/>
        <c:lblAlgn val="ctr"/>
        <c:lblOffset val="100"/>
        <c:noMultiLvlLbl val="0"/>
      </c:catAx>
      <c:valAx>
        <c:axId val="297311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crossAx val="297312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ysClr val="windowText" lastClr="000000"/>
                </a:solidFill>
              </a:rPr>
              <a:t>Mean Average</a:t>
            </a:r>
            <a:r>
              <a:rPr lang="en-GB" sz="1200" b="1" baseline="0">
                <a:solidFill>
                  <a:sysClr val="windowText" lastClr="000000"/>
                </a:solidFill>
              </a:rPr>
              <a:t> Hourly pay rates at both sites over the last 5 years labelling 2017 and 2021</a:t>
            </a:r>
            <a:endParaRPr lang="en-GB" sz="1200"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3681548581106144E-2"/>
          <c:y val="0.24987328940699444"/>
          <c:w val="0.89333714984154089"/>
          <c:h val="0.42422506994025655"/>
        </c:manualLayout>
      </c:layout>
      <c:barChart>
        <c:barDir val="col"/>
        <c:grouping val="clustered"/>
        <c:varyColors val="0"/>
        <c:ser>
          <c:idx val="0"/>
          <c:order val="0"/>
          <c:tx>
            <c:strRef>
              <c:f>'MEAN -MEDIAN PG '!$J$3:$J$4</c:f>
              <c:strCache>
                <c:ptCount val="2"/>
                <c:pt idx="0">
                  <c:v>Mean Average Hourly pay</c:v>
                </c:pt>
                <c:pt idx="1">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'MEAN -MEDIAN PG '!$I$5:$I$10</c:f>
              <c:strCache>
                <c:ptCount val="6"/>
                <c:pt idx="0">
                  <c:v>BH - Male </c:v>
                </c:pt>
                <c:pt idx="1">
                  <c:v>BH-Female </c:v>
                </c:pt>
                <c:pt idx="2">
                  <c:v>BH difference </c:v>
                </c:pt>
                <c:pt idx="3">
                  <c:v>LDH - Male </c:v>
                </c:pt>
                <c:pt idx="4">
                  <c:v>LDH - Female </c:v>
                </c:pt>
                <c:pt idx="5">
                  <c:v>LDH difference </c:v>
                </c:pt>
              </c:strCache>
            </c:strRef>
          </c:cat>
          <c:val>
            <c:numRef>
              <c:f>'MEAN -MEDIAN PG '!$J$5:$J$10</c:f>
              <c:numCache>
                <c:formatCode>"£"#,##0.00</c:formatCode>
                <c:ptCount val="6"/>
                <c:pt idx="0">
                  <c:v>20.84</c:v>
                </c:pt>
                <c:pt idx="1">
                  <c:v>14.81</c:v>
                </c:pt>
                <c:pt idx="2">
                  <c:v>6.0299999999999994</c:v>
                </c:pt>
                <c:pt idx="3">
                  <c:v>22.04</c:v>
                </c:pt>
                <c:pt idx="4">
                  <c:v>15.63</c:v>
                </c:pt>
                <c:pt idx="5">
                  <c:v>6.4099999999999984</c:v>
                </c:pt>
              </c:numCache>
            </c:numRef>
          </c:val>
          <c:extLst>
            <c:ext xmlns:c16="http://schemas.microsoft.com/office/drawing/2014/chart" uri="{C3380CC4-5D6E-409C-BE32-E72D297353CC}">
              <c16:uniqueId val="{00000000-59DC-4178-9E8B-5D88ED07C3FD}"/>
            </c:ext>
          </c:extLst>
        </c:ser>
        <c:ser>
          <c:idx val="1"/>
          <c:order val="1"/>
          <c:tx>
            <c:strRef>
              <c:f>'MEAN -MEDIAN PG '!$K$3:$K$4</c:f>
              <c:strCache>
                <c:ptCount val="2"/>
                <c:pt idx="0">
                  <c:v>Mean Average Hourly pay</c:v>
                </c:pt>
                <c:pt idx="1">
                  <c:v>2018</c:v>
                </c:pt>
              </c:strCache>
            </c:strRef>
          </c:tx>
          <c:spPr>
            <a:solidFill>
              <a:schemeClr val="accent2"/>
            </a:solidFill>
            <a:ln>
              <a:noFill/>
            </a:ln>
            <a:effectLst/>
          </c:spPr>
          <c:invertIfNegative val="0"/>
          <c:cat>
            <c:strRef>
              <c:f>'MEAN -MEDIAN PG '!$I$5:$I$10</c:f>
              <c:strCache>
                <c:ptCount val="6"/>
                <c:pt idx="0">
                  <c:v>BH - Male </c:v>
                </c:pt>
                <c:pt idx="1">
                  <c:v>BH-Female </c:v>
                </c:pt>
                <c:pt idx="2">
                  <c:v>BH difference </c:v>
                </c:pt>
                <c:pt idx="3">
                  <c:v>LDH - Male </c:v>
                </c:pt>
                <c:pt idx="4">
                  <c:v>LDH - Female </c:v>
                </c:pt>
                <c:pt idx="5">
                  <c:v>LDH difference </c:v>
                </c:pt>
              </c:strCache>
            </c:strRef>
          </c:cat>
          <c:val>
            <c:numRef>
              <c:f>'MEAN -MEDIAN PG '!$K$5:$K$10</c:f>
              <c:numCache>
                <c:formatCode>"£"#,##0.00</c:formatCode>
                <c:ptCount val="6"/>
                <c:pt idx="0">
                  <c:v>21.92</c:v>
                </c:pt>
                <c:pt idx="1">
                  <c:v>14.89</c:v>
                </c:pt>
                <c:pt idx="2">
                  <c:v>7.0300000000000011</c:v>
                </c:pt>
                <c:pt idx="3">
                  <c:v>22.26</c:v>
                </c:pt>
                <c:pt idx="4">
                  <c:v>15.76</c:v>
                </c:pt>
                <c:pt idx="5">
                  <c:v>6.5000000000000018</c:v>
                </c:pt>
              </c:numCache>
            </c:numRef>
          </c:val>
          <c:extLst>
            <c:ext xmlns:c16="http://schemas.microsoft.com/office/drawing/2014/chart" uri="{C3380CC4-5D6E-409C-BE32-E72D297353CC}">
              <c16:uniqueId val="{00000001-59DC-4178-9E8B-5D88ED07C3FD}"/>
            </c:ext>
          </c:extLst>
        </c:ser>
        <c:ser>
          <c:idx val="2"/>
          <c:order val="2"/>
          <c:tx>
            <c:strRef>
              <c:f>'MEAN -MEDIAN PG '!$L$3:$L$4</c:f>
              <c:strCache>
                <c:ptCount val="2"/>
                <c:pt idx="0">
                  <c:v>Mean Average Hourly pay</c:v>
                </c:pt>
                <c:pt idx="1">
                  <c:v>2019</c:v>
                </c:pt>
              </c:strCache>
            </c:strRef>
          </c:tx>
          <c:spPr>
            <a:solidFill>
              <a:schemeClr val="accent3"/>
            </a:solidFill>
            <a:ln>
              <a:noFill/>
            </a:ln>
            <a:effectLst/>
          </c:spPr>
          <c:invertIfNegative val="0"/>
          <c:cat>
            <c:strRef>
              <c:f>'MEAN -MEDIAN PG '!$I$5:$I$10</c:f>
              <c:strCache>
                <c:ptCount val="6"/>
                <c:pt idx="0">
                  <c:v>BH - Male </c:v>
                </c:pt>
                <c:pt idx="1">
                  <c:v>BH-Female </c:v>
                </c:pt>
                <c:pt idx="2">
                  <c:v>BH difference </c:v>
                </c:pt>
                <c:pt idx="3">
                  <c:v>LDH - Male </c:v>
                </c:pt>
                <c:pt idx="4">
                  <c:v>LDH - Female </c:v>
                </c:pt>
                <c:pt idx="5">
                  <c:v>LDH difference </c:v>
                </c:pt>
              </c:strCache>
            </c:strRef>
          </c:cat>
          <c:val>
            <c:numRef>
              <c:f>'MEAN -MEDIAN PG '!$L$5:$L$10</c:f>
              <c:numCache>
                <c:formatCode>"£"#,##0.00</c:formatCode>
                <c:ptCount val="6"/>
                <c:pt idx="0">
                  <c:v>22.31</c:v>
                </c:pt>
                <c:pt idx="1">
                  <c:v>15.27</c:v>
                </c:pt>
                <c:pt idx="2">
                  <c:v>7.0399999999999991</c:v>
                </c:pt>
                <c:pt idx="3">
                  <c:v>22.83</c:v>
                </c:pt>
                <c:pt idx="4">
                  <c:v>16.21</c:v>
                </c:pt>
                <c:pt idx="5">
                  <c:v>6.6199999999999974</c:v>
                </c:pt>
              </c:numCache>
            </c:numRef>
          </c:val>
          <c:extLst>
            <c:ext xmlns:c16="http://schemas.microsoft.com/office/drawing/2014/chart" uri="{C3380CC4-5D6E-409C-BE32-E72D297353CC}">
              <c16:uniqueId val="{00000002-59DC-4178-9E8B-5D88ED07C3FD}"/>
            </c:ext>
          </c:extLst>
        </c:ser>
        <c:ser>
          <c:idx val="3"/>
          <c:order val="3"/>
          <c:tx>
            <c:strRef>
              <c:f>'MEAN -MEDIAN PG '!$M$3:$M$4</c:f>
              <c:strCache>
                <c:ptCount val="2"/>
                <c:pt idx="0">
                  <c:v>Mean Average Hourly pay</c:v>
                </c:pt>
                <c:pt idx="1">
                  <c:v>2020</c:v>
                </c:pt>
              </c:strCache>
            </c:strRef>
          </c:tx>
          <c:spPr>
            <a:solidFill>
              <a:schemeClr val="accent4"/>
            </a:solidFill>
            <a:ln>
              <a:noFill/>
            </a:ln>
            <a:effectLst/>
          </c:spPr>
          <c:invertIfNegative val="0"/>
          <c:dLbls>
            <c:dLbl>
              <c:idx val="0"/>
              <c:layout>
                <c:manualLayout>
                  <c:x val="-1.6713673874438523E-2"/>
                  <c:y val="-3.831417624521075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9DC-4178-9E8B-5D88ED07C3FD}"/>
                </c:ext>
              </c:extLst>
            </c:dLbl>
            <c:dLbl>
              <c:idx val="1"/>
              <c:layout>
                <c:manualLayout>
                  <c:x val="-6.2676277029144467E-3"/>
                  <c:y val="-6.22605363984674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9DC-4178-9E8B-5D88ED07C3FD}"/>
                </c:ext>
              </c:extLst>
            </c:dLbl>
            <c:dLbl>
              <c:idx val="2"/>
              <c:layout>
                <c:manualLayout>
                  <c:x val="-2.5070510811657787E-2"/>
                  <c:y val="-7.18390804597701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9DC-4178-9E8B-5D88ED07C3FD}"/>
                </c:ext>
              </c:extLst>
            </c:dLbl>
            <c:dLbl>
              <c:idx val="3"/>
              <c:layout>
                <c:manualLayout>
                  <c:x val="-2.0892092343048157E-2"/>
                  <c:y val="-4.78927203065133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9DC-4178-9E8B-5D88ED07C3FD}"/>
                </c:ext>
              </c:extLst>
            </c:dLbl>
            <c:dLbl>
              <c:idx val="4"/>
              <c:layout>
                <c:manualLayout>
                  <c:x val="-1.8802883108743493E-2"/>
                  <c:y val="-6.22605363984674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9DC-4178-9E8B-5D88ED07C3FD}"/>
                </c:ext>
              </c:extLst>
            </c:dLbl>
            <c:dLbl>
              <c:idx val="5"/>
              <c:layout>
                <c:manualLayout>
                  <c:x val="-1.6713673874438523E-2"/>
                  <c:y val="-5.26819923371647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9DC-4178-9E8B-5D88ED07C3F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'MEAN -MEDIAN PG '!$I$5:$I$10</c:f>
              <c:strCache>
                <c:ptCount val="6"/>
                <c:pt idx="0">
                  <c:v>BH - Male </c:v>
                </c:pt>
                <c:pt idx="1">
                  <c:v>BH-Female </c:v>
                </c:pt>
                <c:pt idx="2">
                  <c:v>BH difference </c:v>
                </c:pt>
                <c:pt idx="3">
                  <c:v>LDH - Male </c:v>
                </c:pt>
                <c:pt idx="4">
                  <c:v>LDH - Female </c:v>
                </c:pt>
                <c:pt idx="5">
                  <c:v>LDH difference </c:v>
                </c:pt>
              </c:strCache>
            </c:strRef>
          </c:cat>
          <c:val>
            <c:numRef>
              <c:f>'MEAN -MEDIAN PG '!$M$5:$M$10</c:f>
              <c:numCache>
                <c:formatCode>"£"#,##0.00</c:formatCode>
                <c:ptCount val="6"/>
                <c:pt idx="0">
                  <c:v>23.03</c:v>
                </c:pt>
                <c:pt idx="1">
                  <c:v>15.77</c:v>
                </c:pt>
                <c:pt idx="2">
                  <c:v>7.2600000000000016</c:v>
                </c:pt>
                <c:pt idx="3">
                  <c:v>23.76</c:v>
                </c:pt>
                <c:pt idx="4">
                  <c:v>16.940000000000001</c:v>
                </c:pt>
                <c:pt idx="5">
                  <c:v>6.82</c:v>
                </c:pt>
              </c:numCache>
            </c:numRef>
          </c:val>
          <c:extLst>
            <c:ext xmlns:c16="http://schemas.microsoft.com/office/drawing/2014/chart" uri="{C3380CC4-5D6E-409C-BE32-E72D297353CC}">
              <c16:uniqueId val="{00000009-59DC-4178-9E8B-5D88ED07C3FD}"/>
            </c:ext>
          </c:extLst>
        </c:ser>
        <c:ser>
          <c:idx val="4"/>
          <c:order val="4"/>
          <c:tx>
            <c:strRef>
              <c:f>'MEAN -MEDIAN PG '!$N$3:$N$4</c:f>
              <c:strCache>
                <c:ptCount val="2"/>
                <c:pt idx="0">
                  <c:v>Mean Average Hourly pay</c:v>
                </c:pt>
                <c:pt idx="1">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'MEAN -MEDIAN PG '!$I$5:$I$10</c:f>
              <c:strCache>
                <c:ptCount val="6"/>
                <c:pt idx="0">
                  <c:v>BH - Male </c:v>
                </c:pt>
                <c:pt idx="1">
                  <c:v>BH-Female </c:v>
                </c:pt>
                <c:pt idx="2">
                  <c:v>BH difference </c:v>
                </c:pt>
                <c:pt idx="3">
                  <c:v>LDH - Male </c:v>
                </c:pt>
                <c:pt idx="4">
                  <c:v>LDH - Female </c:v>
                </c:pt>
                <c:pt idx="5">
                  <c:v>LDH difference </c:v>
                </c:pt>
              </c:strCache>
            </c:strRef>
          </c:cat>
          <c:val>
            <c:numRef>
              <c:f>'MEAN -MEDIAN PG '!$N$5:$N$10</c:f>
              <c:numCache>
                <c:formatCode>"£"#,##0.00</c:formatCode>
                <c:ptCount val="6"/>
                <c:pt idx="0">
                  <c:v>23.380322130215301</c:v>
                </c:pt>
                <c:pt idx="1">
                  <c:v>16.278921400905801</c:v>
                </c:pt>
                <c:pt idx="2">
                  <c:v>7.1014007293094199</c:v>
                </c:pt>
                <c:pt idx="3">
                  <c:v>24.03</c:v>
                </c:pt>
                <c:pt idx="4">
                  <c:v>17.46</c:v>
                </c:pt>
                <c:pt idx="5">
                  <c:v>6.58</c:v>
                </c:pt>
              </c:numCache>
            </c:numRef>
          </c:val>
          <c:extLst>
            <c:ext xmlns:c16="http://schemas.microsoft.com/office/drawing/2014/chart" uri="{C3380CC4-5D6E-409C-BE32-E72D297353CC}">
              <c16:uniqueId val="{0000000A-59DC-4178-9E8B-5D88ED07C3FD}"/>
            </c:ext>
          </c:extLst>
        </c:ser>
        <c:dLbls>
          <c:showLegendKey val="0"/>
          <c:showVal val="0"/>
          <c:showCatName val="0"/>
          <c:showSerName val="0"/>
          <c:showPercent val="0"/>
          <c:showBubbleSize val="0"/>
        </c:dLbls>
        <c:gapWidth val="219"/>
        <c:overlap val="-27"/>
        <c:axId val="296509424"/>
        <c:axId val="296509816"/>
      </c:barChart>
      <c:catAx>
        <c:axId val="29650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96509816"/>
        <c:crosses val="autoZero"/>
        <c:auto val="1"/>
        <c:lblAlgn val="ctr"/>
        <c:lblOffset val="100"/>
        <c:noMultiLvlLbl val="0"/>
      </c:catAx>
      <c:valAx>
        <c:axId val="29650981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296509424"/>
        <c:crosses val="autoZero"/>
        <c:crossBetween val="between"/>
      </c:valAx>
      <c:spPr>
        <a:noFill/>
        <a:ln>
          <a:noFill/>
        </a:ln>
        <a:effectLst/>
      </c:spPr>
    </c:plotArea>
    <c:legend>
      <c:legendPos val="b"/>
      <c:layout>
        <c:manualLayout>
          <c:xMode val="edge"/>
          <c:yMode val="edge"/>
          <c:x val="0"/>
          <c:y val="0.80259367604391574"/>
          <c:w val="0.99215559509150986"/>
          <c:h val="0.16099684737683653"/>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100">
                <a:latin typeface="Arial" panose="020B0604020202020204" pitchFamily="34" charset="0"/>
                <a:cs typeface="Arial" panose="020B0604020202020204" pitchFamily="34" charset="0"/>
              </a:rPr>
              <a:t>Median Hourly Rates - both sites 2017 to 2020 with difference in pay </a:t>
            </a:r>
          </a:p>
        </c:rich>
      </c:tx>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9.9972419824928008E-2"/>
          <c:y val="0.17154261886929945"/>
          <c:w val="0.87688673658613747"/>
          <c:h val="0.54753638443009534"/>
        </c:manualLayout>
      </c:layout>
      <c:barChart>
        <c:barDir val="col"/>
        <c:grouping val="clustered"/>
        <c:varyColors val="0"/>
        <c:ser>
          <c:idx val="0"/>
          <c:order val="0"/>
          <c:tx>
            <c:strRef>
              <c:f>'MEAN -MEDIAN PG '!$J$18</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'MEAN -MEDIAN PG '!$I$19:$I$24</c:f>
              <c:strCache>
                <c:ptCount val="6"/>
                <c:pt idx="0">
                  <c:v>BH male </c:v>
                </c:pt>
                <c:pt idx="1">
                  <c:v>BH Female</c:v>
                </c:pt>
                <c:pt idx="2">
                  <c:v>BH difference </c:v>
                </c:pt>
                <c:pt idx="3">
                  <c:v>LDH - Male </c:v>
                </c:pt>
                <c:pt idx="4">
                  <c:v>LDH - Female </c:v>
                </c:pt>
                <c:pt idx="5">
                  <c:v>LDH - Difference </c:v>
                </c:pt>
              </c:strCache>
            </c:strRef>
          </c:cat>
          <c:val>
            <c:numRef>
              <c:f>'MEAN -MEDIAN PG '!$J$19:$J$24</c:f>
              <c:numCache>
                <c:formatCode>"£"#,##0.00</c:formatCode>
                <c:ptCount val="6"/>
                <c:pt idx="0">
                  <c:v>15.14</c:v>
                </c:pt>
                <c:pt idx="1">
                  <c:v>13.36</c:v>
                </c:pt>
                <c:pt idx="2">
                  <c:v>1.7800000000000011</c:v>
                </c:pt>
                <c:pt idx="3">
                  <c:v>16.57</c:v>
                </c:pt>
                <c:pt idx="4">
                  <c:v>13.68</c:v>
                </c:pt>
                <c:pt idx="5">
                  <c:v>2.89</c:v>
                </c:pt>
              </c:numCache>
            </c:numRef>
          </c:val>
          <c:extLst>
            <c:ext xmlns:c16="http://schemas.microsoft.com/office/drawing/2014/chart" uri="{C3380CC4-5D6E-409C-BE32-E72D297353CC}">
              <c16:uniqueId val="{00000000-E29C-4C59-994C-440C06A91269}"/>
            </c:ext>
          </c:extLst>
        </c:ser>
        <c:ser>
          <c:idx val="1"/>
          <c:order val="1"/>
          <c:tx>
            <c:strRef>
              <c:f>'MEAN -MEDIAN PG '!$K$18</c:f>
              <c:strCache>
                <c:ptCount val="1"/>
                <c:pt idx="0">
                  <c:v>2018</c:v>
                </c:pt>
              </c:strCache>
            </c:strRef>
          </c:tx>
          <c:spPr>
            <a:solidFill>
              <a:schemeClr val="accent2"/>
            </a:solidFill>
            <a:ln>
              <a:noFill/>
            </a:ln>
            <a:effectLst/>
          </c:spPr>
          <c:invertIfNegative val="0"/>
          <c:cat>
            <c:strRef>
              <c:f>'MEAN -MEDIAN PG '!$I$19:$I$24</c:f>
              <c:strCache>
                <c:ptCount val="6"/>
                <c:pt idx="0">
                  <c:v>BH male </c:v>
                </c:pt>
                <c:pt idx="1">
                  <c:v>BH Female</c:v>
                </c:pt>
                <c:pt idx="2">
                  <c:v>BH difference </c:v>
                </c:pt>
                <c:pt idx="3">
                  <c:v>LDH - Male </c:v>
                </c:pt>
                <c:pt idx="4">
                  <c:v>LDH - Female </c:v>
                </c:pt>
                <c:pt idx="5">
                  <c:v>LDH - Difference </c:v>
                </c:pt>
              </c:strCache>
            </c:strRef>
          </c:cat>
          <c:val>
            <c:numRef>
              <c:f>'MEAN -MEDIAN PG '!$K$19:$K$24</c:f>
              <c:numCache>
                <c:formatCode>"£"#,##0.00</c:formatCode>
                <c:ptCount val="6"/>
                <c:pt idx="0">
                  <c:v>15.68</c:v>
                </c:pt>
                <c:pt idx="1">
                  <c:v>13.15</c:v>
                </c:pt>
                <c:pt idx="2">
                  <c:v>2.5299999999999994</c:v>
                </c:pt>
                <c:pt idx="3">
                  <c:v>16.690000000000001</c:v>
                </c:pt>
                <c:pt idx="4">
                  <c:v>13.86</c:v>
                </c:pt>
                <c:pt idx="5">
                  <c:v>2.8300000000000018</c:v>
                </c:pt>
              </c:numCache>
            </c:numRef>
          </c:val>
          <c:extLst>
            <c:ext xmlns:c16="http://schemas.microsoft.com/office/drawing/2014/chart" uri="{C3380CC4-5D6E-409C-BE32-E72D297353CC}">
              <c16:uniqueId val="{00000001-E29C-4C59-994C-440C06A91269}"/>
            </c:ext>
          </c:extLst>
        </c:ser>
        <c:ser>
          <c:idx val="2"/>
          <c:order val="2"/>
          <c:tx>
            <c:strRef>
              <c:f>'MEAN -MEDIAN PG '!$L$18</c:f>
              <c:strCache>
                <c:ptCount val="1"/>
                <c:pt idx="0">
                  <c:v>2019</c:v>
                </c:pt>
              </c:strCache>
            </c:strRef>
          </c:tx>
          <c:spPr>
            <a:solidFill>
              <a:schemeClr val="accent3"/>
            </a:solidFill>
            <a:ln>
              <a:noFill/>
            </a:ln>
            <a:effectLst/>
          </c:spPr>
          <c:invertIfNegative val="0"/>
          <c:cat>
            <c:strRef>
              <c:f>'MEAN -MEDIAN PG '!$I$19:$I$24</c:f>
              <c:strCache>
                <c:ptCount val="6"/>
                <c:pt idx="0">
                  <c:v>BH male </c:v>
                </c:pt>
                <c:pt idx="1">
                  <c:v>BH Female</c:v>
                </c:pt>
                <c:pt idx="2">
                  <c:v>BH difference </c:v>
                </c:pt>
                <c:pt idx="3">
                  <c:v>LDH - Male </c:v>
                </c:pt>
                <c:pt idx="4">
                  <c:v>LDH - Female </c:v>
                </c:pt>
                <c:pt idx="5">
                  <c:v>LDH - Difference </c:v>
                </c:pt>
              </c:strCache>
            </c:strRef>
          </c:cat>
          <c:val>
            <c:numRef>
              <c:f>'MEAN -MEDIAN PG '!$L$19:$L$24</c:f>
              <c:numCache>
                <c:formatCode>"£"#,##0.00</c:formatCode>
                <c:ptCount val="6"/>
                <c:pt idx="0">
                  <c:v>16.45</c:v>
                </c:pt>
                <c:pt idx="1">
                  <c:v>13.61</c:v>
                </c:pt>
                <c:pt idx="2">
                  <c:v>2.84</c:v>
                </c:pt>
                <c:pt idx="3">
                  <c:v>17.5</c:v>
                </c:pt>
                <c:pt idx="4">
                  <c:v>14.35</c:v>
                </c:pt>
                <c:pt idx="5">
                  <c:v>3.1500000000000004</c:v>
                </c:pt>
              </c:numCache>
            </c:numRef>
          </c:val>
          <c:extLst>
            <c:ext xmlns:c16="http://schemas.microsoft.com/office/drawing/2014/chart" uri="{C3380CC4-5D6E-409C-BE32-E72D297353CC}">
              <c16:uniqueId val="{00000002-E29C-4C59-994C-440C06A91269}"/>
            </c:ext>
          </c:extLst>
        </c:ser>
        <c:ser>
          <c:idx val="3"/>
          <c:order val="3"/>
          <c:tx>
            <c:strRef>
              <c:f>'MEAN -MEDIAN PG '!$M$18</c:f>
              <c:strCache>
                <c:ptCount val="1"/>
                <c:pt idx="0">
                  <c:v>2020</c:v>
                </c:pt>
              </c:strCache>
            </c:strRef>
          </c:tx>
          <c:spPr>
            <a:solidFill>
              <a:schemeClr val="accent4"/>
            </a:solidFill>
            <a:ln>
              <a:noFill/>
            </a:ln>
            <a:effectLst/>
          </c:spPr>
          <c:invertIfNegative val="0"/>
          <c:dLbls>
            <c:dLbl>
              <c:idx val="0"/>
              <c:layout>
                <c:manualLayout>
                  <c:x val="-2.3631349459837591E-2"/>
                  <c:y val="-6.99708374496869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29C-4C59-994C-440C06A91269}"/>
                </c:ext>
              </c:extLst>
            </c:dLbl>
            <c:dLbl>
              <c:idx val="1"/>
              <c:layout>
                <c:manualLayout>
                  <c:x val="-9.4525397839350361E-3"/>
                  <c:y val="-5.24781280872651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29C-4C59-994C-440C06A91269}"/>
                </c:ext>
              </c:extLst>
            </c:dLbl>
            <c:dLbl>
              <c:idx val="2"/>
              <c:layout>
                <c:manualLayout>
                  <c:x val="-2.363134945983759E-3"/>
                  <c:y val="-5.24781280872652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29C-4C59-994C-440C06A91269}"/>
                </c:ext>
              </c:extLst>
            </c:dLbl>
            <c:dLbl>
              <c:idx val="3"/>
              <c:layout>
                <c:manualLayout>
                  <c:x val="-7.0894048379513642E-3"/>
                  <c:y val="-4.81049507466597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29C-4C59-994C-440C06A91269}"/>
                </c:ext>
              </c:extLst>
            </c:dLbl>
            <c:dLbl>
              <c:idx val="4"/>
              <c:layout>
                <c:manualLayout>
                  <c:x val="-7.0894048379513642E-3"/>
                  <c:y val="-8.74635468121087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29C-4C59-994C-440C06A91269}"/>
                </c:ext>
              </c:extLst>
            </c:dLbl>
            <c:dLbl>
              <c:idx val="5"/>
              <c:layout>
                <c:manualLayout>
                  <c:x val="-2.363134945983759E-3"/>
                  <c:y val="-5.6851305427870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29C-4C59-994C-440C06A9126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'MEAN -MEDIAN PG '!$I$19:$I$24</c:f>
              <c:strCache>
                <c:ptCount val="6"/>
                <c:pt idx="0">
                  <c:v>BH male </c:v>
                </c:pt>
                <c:pt idx="1">
                  <c:v>BH Female</c:v>
                </c:pt>
                <c:pt idx="2">
                  <c:v>BH difference </c:v>
                </c:pt>
                <c:pt idx="3">
                  <c:v>LDH - Male </c:v>
                </c:pt>
                <c:pt idx="4">
                  <c:v>LDH - Female </c:v>
                </c:pt>
                <c:pt idx="5">
                  <c:v>LDH - Difference </c:v>
                </c:pt>
              </c:strCache>
            </c:strRef>
          </c:cat>
          <c:val>
            <c:numRef>
              <c:f>'MEAN -MEDIAN PG '!$M$19:$M$24</c:f>
              <c:numCache>
                <c:formatCode>"£"#,##0.00</c:formatCode>
                <c:ptCount val="6"/>
                <c:pt idx="0">
                  <c:v>17.66</c:v>
                </c:pt>
                <c:pt idx="1">
                  <c:v>14.01</c:v>
                </c:pt>
                <c:pt idx="2">
                  <c:v>3.6500000000000004</c:v>
                </c:pt>
                <c:pt idx="3">
                  <c:v>19.14</c:v>
                </c:pt>
                <c:pt idx="4">
                  <c:v>15.13</c:v>
                </c:pt>
                <c:pt idx="5">
                  <c:v>4.01</c:v>
                </c:pt>
              </c:numCache>
            </c:numRef>
          </c:val>
          <c:extLst>
            <c:ext xmlns:c16="http://schemas.microsoft.com/office/drawing/2014/chart" uri="{C3380CC4-5D6E-409C-BE32-E72D297353CC}">
              <c16:uniqueId val="{00000009-E29C-4C59-994C-440C06A91269}"/>
            </c:ext>
          </c:extLst>
        </c:ser>
        <c:ser>
          <c:idx val="4"/>
          <c:order val="4"/>
          <c:tx>
            <c:strRef>
              <c:f>'MEAN -MEDIAN PG '!$N$18</c:f>
              <c:strCache>
                <c:ptCount val="1"/>
                <c:pt idx="0">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'MEAN -MEDIAN PG '!$I$19:$I$24</c:f>
              <c:strCache>
                <c:ptCount val="6"/>
                <c:pt idx="0">
                  <c:v>BH male </c:v>
                </c:pt>
                <c:pt idx="1">
                  <c:v>BH Female</c:v>
                </c:pt>
                <c:pt idx="2">
                  <c:v>BH difference </c:v>
                </c:pt>
                <c:pt idx="3">
                  <c:v>LDH - Male </c:v>
                </c:pt>
                <c:pt idx="4">
                  <c:v>LDH - Female </c:v>
                </c:pt>
                <c:pt idx="5">
                  <c:v>LDH - Difference </c:v>
                </c:pt>
              </c:strCache>
            </c:strRef>
          </c:cat>
          <c:val>
            <c:numRef>
              <c:f>'MEAN -MEDIAN PG '!$N$19:$N$24</c:f>
              <c:numCache>
                <c:formatCode>"£"#,##0.00</c:formatCode>
                <c:ptCount val="6"/>
                <c:pt idx="0">
                  <c:v>17.381290655978699</c:v>
                </c:pt>
                <c:pt idx="1">
                  <c:v>14.2928097790805</c:v>
                </c:pt>
                <c:pt idx="2">
                  <c:v>3.0884808768981902</c:v>
                </c:pt>
                <c:pt idx="3">
                  <c:v>19.377109542804501</c:v>
                </c:pt>
                <c:pt idx="4">
                  <c:v>15.6565237692851</c:v>
                </c:pt>
                <c:pt idx="5">
                  <c:v>3.7205857735194501</c:v>
                </c:pt>
              </c:numCache>
            </c:numRef>
          </c:val>
          <c:extLst>
            <c:ext xmlns:c16="http://schemas.microsoft.com/office/drawing/2014/chart" uri="{C3380CC4-5D6E-409C-BE32-E72D297353CC}">
              <c16:uniqueId val="{0000000A-E29C-4C59-994C-440C06A91269}"/>
            </c:ext>
          </c:extLst>
        </c:ser>
        <c:ser>
          <c:idx val="5"/>
          <c:order val="5"/>
          <c:tx>
            <c:strRef>
              <c:f>'MEAN -MEDIAN PG '!$O$18</c:f>
              <c:strCache>
                <c:ptCount val="1"/>
                <c:pt idx="0">
                  <c:v>BHFT </c:v>
                </c:pt>
              </c:strCache>
            </c:strRef>
          </c:tx>
          <c:spPr>
            <a:solidFill>
              <a:schemeClr val="accent6"/>
            </a:solidFill>
            <a:ln>
              <a:noFill/>
            </a:ln>
            <a:effectLst/>
          </c:spPr>
          <c:invertIfNegative val="0"/>
          <c:cat>
            <c:strRef>
              <c:f>'MEAN -MEDIAN PG '!$I$19:$I$24</c:f>
              <c:strCache>
                <c:ptCount val="6"/>
                <c:pt idx="0">
                  <c:v>BH male </c:v>
                </c:pt>
                <c:pt idx="1">
                  <c:v>BH Female</c:v>
                </c:pt>
                <c:pt idx="2">
                  <c:v>BH difference </c:v>
                </c:pt>
                <c:pt idx="3">
                  <c:v>LDH - Male </c:v>
                </c:pt>
                <c:pt idx="4">
                  <c:v>LDH - Female </c:v>
                </c:pt>
                <c:pt idx="5">
                  <c:v>LDH - Difference </c:v>
                </c:pt>
              </c:strCache>
            </c:strRef>
          </c:cat>
          <c:val>
            <c:numRef>
              <c:f>'MEAN -MEDIAN PG '!$O$19:$O$24</c:f>
              <c:numCache>
                <c:formatCode>General</c:formatCode>
                <c:ptCount val="6"/>
              </c:numCache>
            </c:numRef>
          </c:val>
          <c:extLst>
            <c:ext xmlns:c16="http://schemas.microsoft.com/office/drawing/2014/chart" uri="{C3380CC4-5D6E-409C-BE32-E72D297353CC}">
              <c16:uniqueId val="{0000000B-E29C-4C59-994C-440C06A91269}"/>
            </c:ext>
          </c:extLst>
        </c:ser>
        <c:dLbls>
          <c:showLegendKey val="0"/>
          <c:showVal val="0"/>
          <c:showCatName val="0"/>
          <c:showSerName val="0"/>
          <c:showPercent val="0"/>
          <c:showBubbleSize val="0"/>
        </c:dLbls>
        <c:gapWidth val="219"/>
        <c:overlap val="-27"/>
        <c:axId val="296510992"/>
        <c:axId val="298442384"/>
      </c:barChart>
      <c:catAx>
        <c:axId val="29651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crossAx val="298442384"/>
        <c:crosses val="autoZero"/>
        <c:auto val="1"/>
        <c:lblAlgn val="ctr"/>
        <c:lblOffset val="100"/>
        <c:noMultiLvlLbl val="0"/>
      </c:catAx>
      <c:valAx>
        <c:axId val="29844238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crossAx val="296510992"/>
        <c:crosses val="autoZero"/>
        <c:crossBetween val="between"/>
      </c:valAx>
      <c:spPr>
        <a:noFill/>
        <a:ln>
          <a:noFill/>
        </a:ln>
        <a:effectLst/>
      </c:spPr>
    </c:plotArea>
    <c:legend>
      <c:legendPos val="b"/>
      <c:layout>
        <c:manualLayout>
          <c:xMode val="edge"/>
          <c:yMode val="edge"/>
          <c:x val="0.23479591084563467"/>
          <c:y val="0.90096954313576538"/>
          <c:w val="0.53040817830873066"/>
          <c:h val="6.467603373225643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ysClr val="windowText" lastClr="000000"/>
                </a:solidFill>
              </a:rPr>
              <a:t>Bedford</a:t>
            </a:r>
            <a:r>
              <a:rPr lang="en-GB" sz="1200" b="1" baseline="0">
                <a:solidFill>
                  <a:sysClr val="windowText" lastClr="000000"/>
                </a:solidFill>
              </a:rPr>
              <a:t> - Pay Quartiles by Male / Female 2017 to 2021</a:t>
            </a:r>
          </a:p>
        </c:rich>
      </c:tx>
      <c:layout>
        <c:manualLayout>
          <c:xMode val="edge"/>
          <c:yMode val="edge"/>
          <c:x val="0.20734449026326926"/>
          <c:y val="9.132420091324200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1849498720582082E-2"/>
          <c:y val="0.12385425780110819"/>
          <c:w val="0.87759495240705332"/>
          <c:h val="0.56837525517643628"/>
        </c:manualLayout>
      </c:layout>
      <c:barChart>
        <c:barDir val="col"/>
        <c:grouping val="clustered"/>
        <c:varyColors val="0"/>
        <c:ser>
          <c:idx val="0"/>
          <c:order val="0"/>
          <c:tx>
            <c:strRef>
              <c:f>'quartiles '!$H$5</c:f>
              <c:strCache>
                <c:ptCount val="1"/>
                <c:pt idx="0">
                  <c:v>1 Lower </c:v>
                </c:pt>
              </c:strCache>
            </c:strRef>
          </c:tx>
          <c:spPr>
            <a:solidFill>
              <a:schemeClr val="accent1">
                <a:lumMod val="40000"/>
                <a:lumOff val="60000"/>
              </a:schemeClr>
            </a:solidFill>
            <a:ln>
              <a:noFill/>
            </a:ln>
            <a:effectLst/>
          </c:spPr>
          <c:invertIfNegative val="0"/>
          <c:cat>
            <c:multiLvlStrRef>
              <c:f>'quartiles '!$I$3:$R$4</c:f>
              <c:multiLvlStrCache>
                <c:ptCount val="10"/>
                <c:lvl>
                  <c:pt idx="0">
                    <c:v>female </c:v>
                  </c:pt>
                  <c:pt idx="1">
                    <c:v>male </c:v>
                  </c:pt>
                  <c:pt idx="2">
                    <c:v>female </c:v>
                  </c:pt>
                  <c:pt idx="3">
                    <c:v>male </c:v>
                  </c:pt>
                  <c:pt idx="4">
                    <c:v>female </c:v>
                  </c:pt>
                  <c:pt idx="5">
                    <c:v>male </c:v>
                  </c:pt>
                  <c:pt idx="6">
                    <c:v>female </c:v>
                  </c:pt>
                  <c:pt idx="7">
                    <c:v>male </c:v>
                  </c:pt>
                  <c:pt idx="8">
                    <c:v>female </c:v>
                  </c:pt>
                  <c:pt idx="9">
                    <c:v>male </c:v>
                  </c:pt>
                </c:lvl>
                <c:lvl>
                  <c:pt idx="0">
                    <c:v>2017 (77/23)</c:v>
                  </c:pt>
                  <c:pt idx="2">
                    <c:v>2018 (77/23)</c:v>
                  </c:pt>
                  <c:pt idx="4">
                    <c:v>2019 (78/22)</c:v>
                  </c:pt>
                  <c:pt idx="6">
                    <c:v>2020 (77/23)</c:v>
                  </c:pt>
                  <c:pt idx="8">
                    <c:v>2021 (78/22)</c:v>
                  </c:pt>
                </c:lvl>
              </c:multiLvlStrCache>
            </c:multiLvlStrRef>
          </c:cat>
          <c:val>
            <c:numRef>
              <c:f>'quartiles '!$I$5:$R$5</c:f>
              <c:numCache>
                <c:formatCode>0%</c:formatCode>
                <c:ptCount val="10"/>
                <c:pt idx="0">
                  <c:v>0.81</c:v>
                </c:pt>
                <c:pt idx="1">
                  <c:v>0.19</c:v>
                </c:pt>
                <c:pt idx="2">
                  <c:v>0.82</c:v>
                </c:pt>
                <c:pt idx="3">
                  <c:v>0.18</c:v>
                </c:pt>
                <c:pt idx="4">
                  <c:v>0.84</c:v>
                </c:pt>
                <c:pt idx="5">
                  <c:v>0.16</c:v>
                </c:pt>
                <c:pt idx="6">
                  <c:v>0.85</c:v>
                </c:pt>
                <c:pt idx="7">
                  <c:v>0.15</c:v>
                </c:pt>
                <c:pt idx="8">
                  <c:v>0.84360000000000002</c:v>
                </c:pt>
                <c:pt idx="9">
                  <c:v>0.15640000000000001</c:v>
                </c:pt>
              </c:numCache>
            </c:numRef>
          </c:val>
          <c:extLst>
            <c:ext xmlns:c16="http://schemas.microsoft.com/office/drawing/2014/chart" uri="{C3380CC4-5D6E-409C-BE32-E72D297353CC}">
              <c16:uniqueId val="{00000000-6DC6-4F39-AFD2-CB41B5382DED}"/>
            </c:ext>
          </c:extLst>
        </c:ser>
        <c:ser>
          <c:idx val="1"/>
          <c:order val="1"/>
          <c:tx>
            <c:strRef>
              <c:f>'quartiles '!$H$6</c:f>
              <c:strCache>
                <c:ptCount val="1"/>
                <c:pt idx="0">
                  <c:v>2 Lower mid</c:v>
                </c:pt>
              </c:strCache>
            </c:strRef>
          </c:tx>
          <c:spPr>
            <a:solidFill>
              <a:schemeClr val="accent1">
                <a:lumMod val="60000"/>
                <a:lumOff val="40000"/>
              </a:schemeClr>
            </a:solidFill>
            <a:ln>
              <a:noFill/>
            </a:ln>
            <a:effectLst/>
          </c:spPr>
          <c:invertIfNegative val="0"/>
          <c:cat>
            <c:multiLvlStrRef>
              <c:f>'quartiles '!$I$3:$R$4</c:f>
              <c:multiLvlStrCache>
                <c:ptCount val="10"/>
                <c:lvl>
                  <c:pt idx="0">
                    <c:v>female </c:v>
                  </c:pt>
                  <c:pt idx="1">
                    <c:v>male </c:v>
                  </c:pt>
                  <c:pt idx="2">
                    <c:v>female </c:v>
                  </c:pt>
                  <c:pt idx="3">
                    <c:v>male </c:v>
                  </c:pt>
                  <c:pt idx="4">
                    <c:v>female </c:v>
                  </c:pt>
                  <c:pt idx="5">
                    <c:v>male </c:v>
                  </c:pt>
                  <c:pt idx="6">
                    <c:v>female </c:v>
                  </c:pt>
                  <c:pt idx="7">
                    <c:v>male </c:v>
                  </c:pt>
                  <c:pt idx="8">
                    <c:v>female </c:v>
                  </c:pt>
                  <c:pt idx="9">
                    <c:v>male </c:v>
                  </c:pt>
                </c:lvl>
                <c:lvl>
                  <c:pt idx="0">
                    <c:v>2017 (77/23)</c:v>
                  </c:pt>
                  <c:pt idx="2">
                    <c:v>2018 (77/23)</c:v>
                  </c:pt>
                  <c:pt idx="4">
                    <c:v>2019 (78/22)</c:v>
                  </c:pt>
                  <c:pt idx="6">
                    <c:v>2020 (77/23)</c:v>
                  </c:pt>
                  <c:pt idx="8">
                    <c:v>2021 (78/22)</c:v>
                  </c:pt>
                </c:lvl>
              </c:multiLvlStrCache>
            </c:multiLvlStrRef>
          </c:cat>
          <c:val>
            <c:numRef>
              <c:f>'quartiles '!$I$6:$R$6</c:f>
              <c:numCache>
                <c:formatCode>0%</c:formatCode>
                <c:ptCount val="10"/>
                <c:pt idx="0">
                  <c:v>0.8</c:v>
                </c:pt>
                <c:pt idx="1">
                  <c:v>0.2</c:v>
                </c:pt>
                <c:pt idx="2">
                  <c:v>0.82</c:v>
                </c:pt>
                <c:pt idx="3">
                  <c:v>0.18</c:v>
                </c:pt>
                <c:pt idx="4">
                  <c:v>0.8</c:v>
                </c:pt>
                <c:pt idx="5">
                  <c:v>0.2</c:v>
                </c:pt>
                <c:pt idx="6">
                  <c:v>0.81</c:v>
                </c:pt>
                <c:pt idx="7">
                  <c:v>0.19</c:v>
                </c:pt>
                <c:pt idx="8">
                  <c:v>0.80759999999999998</c:v>
                </c:pt>
                <c:pt idx="9">
                  <c:v>0.19239999999999999</c:v>
                </c:pt>
              </c:numCache>
            </c:numRef>
          </c:val>
          <c:extLst>
            <c:ext xmlns:c16="http://schemas.microsoft.com/office/drawing/2014/chart" uri="{C3380CC4-5D6E-409C-BE32-E72D297353CC}">
              <c16:uniqueId val="{00000001-6DC6-4F39-AFD2-CB41B5382DED}"/>
            </c:ext>
          </c:extLst>
        </c:ser>
        <c:ser>
          <c:idx val="2"/>
          <c:order val="2"/>
          <c:tx>
            <c:strRef>
              <c:f>'quartiles '!$H$7</c:f>
              <c:strCache>
                <c:ptCount val="1"/>
                <c:pt idx="0">
                  <c:v>3 Upper mid</c:v>
                </c:pt>
              </c:strCache>
            </c:strRef>
          </c:tx>
          <c:spPr>
            <a:solidFill>
              <a:schemeClr val="accent1">
                <a:lumMod val="75000"/>
              </a:schemeClr>
            </a:solidFill>
            <a:ln>
              <a:noFill/>
            </a:ln>
            <a:effectLst/>
          </c:spPr>
          <c:invertIfNegative val="0"/>
          <c:dLbls>
            <c:dLbl>
              <c:idx val="1"/>
              <c:layout>
                <c:manualLayout>
                  <c:x val="-1.053740779768177E-2"/>
                  <c:y val="-3.05077358901721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DC6-4F39-AFD2-CB41B5382DED}"/>
                </c:ext>
              </c:extLst>
            </c:dLbl>
            <c:dLbl>
              <c:idx val="3"/>
              <c:layout>
                <c:manualLayout>
                  <c:x val="-1.4752370916754479E-2"/>
                  <c:y val="-8.716495968620695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DC6-4F39-AFD2-CB41B5382DED}"/>
                </c:ext>
              </c:extLst>
            </c:dLbl>
            <c:dLbl>
              <c:idx val="5"/>
              <c:layout>
                <c:manualLayout>
                  <c:x val="-1.4752370916754479E-2"/>
                  <c:y val="-3.48659838744824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DC6-4F39-AFD2-CB41B5382DED}"/>
                </c:ext>
              </c:extLst>
            </c:dLbl>
            <c:dLbl>
              <c:idx val="9"/>
              <c:layout>
                <c:manualLayout>
                  <c:x val="-2.107481559536354E-2"/>
                  <c:y val="-2.17912399215515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DC6-4F39-AFD2-CB41B5382DE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'quartiles '!$I$3:$R$4</c:f>
              <c:multiLvlStrCache>
                <c:ptCount val="10"/>
                <c:lvl>
                  <c:pt idx="0">
                    <c:v>female </c:v>
                  </c:pt>
                  <c:pt idx="1">
                    <c:v>male </c:v>
                  </c:pt>
                  <c:pt idx="2">
                    <c:v>female </c:v>
                  </c:pt>
                  <c:pt idx="3">
                    <c:v>male </c:v>
                  </c:pt>
                  <c:pt idx="4">
                    <c:v>female </c:v>
                  </c:pt>
                  <c:pt idx="5">
                    <c:v>male </c:v>
                  </c:pt>
                  <c:pt idx="6">
                    <c:v>female </c:v>
                  </c:pt>
                  <c:pt idx="7">
                    <c:v>male </c:v>
                  </c:pt>
                  <c:pt idx="8">
                    <c:v>female </c:v>
                  </c:pt>
                  <c:pt idx="9">
                    <c:v>male </c:v>
                  </c:pt>
                </c:lvl>
                <c:lvl>
                  <c:pt idx="0">
                    <c:v>2017 (77/23)</c:v>
                  </c:pt>
                  <c:pt idx="2">
                    <c:v>2018 (77/23)</c:v>
                  </c:pt>
                  <c:pt idx="4">
                    <c:v>2019 (78/22)</c:v>
                  </c:pt>
                  <c:pt idx="6">
                    <c:v>2020 (77/23)</c:v>
                  </c:pt>
                  <c:pt idx="8">
                    <c:v>2021 (78/22)</c:v>
                  </c:pt>
                </c:lvl>
              </c:multiLvlStrCache>
            </c:multiLvlStrRef>
          </c:cat>
          <c:val>
            <c:numRef>
              <c:f>'quartiles '!$I$7:$R$7</c:f>
              <c:numCache>
                <c:formatCode>0%</c:formatCode>
                <c:ptCount val="10"/>
                <c:pt idx="0">
                  <c:v>0.83</c:v>
                </c:pt>
                <c:pt idx="1">
                  <c:v>0.17</c:v>
                </c:pt>
                <c:pt idx="2">
                  <c:v>0.82</c:v>
                </c:pt>
                <c:pt idx="3">
                  <c:v>0.18</c:v>
                </c:pt>
                <c:pt idx="4">
                  <c:v>0.84</c:v>
                </c:pt>
                <c:pt idx="5">
                  <c:v>0.16</c:v>
                </c:pt>
                <c:pt idx="6">
                  <c:v>0.82</c:v>
                </c:pt>
                <c:pt idx="7">
                  <c:v>0.18</c:v>
                </c:pt>
                <c:pt idx="8">
                  <c:v>0.83</c:v>
                </c:pt>
                <c:pt idx="9">
                  <c:v>0.17</c:v>
                </c:pt>
              </c:numCache>
            </c:numRef>
          </c:val>
          <c:extLst>
            <c:ext xmlns:c16="http://schemas.microsoft.com/office/drawing/2014/chart" uri="{C3380CC4-5D6E-409C-BE32-E72D297353CC}">
              <c16:uniqueId val="{00000006-6DC6-4F39-AFD2-CB41B5382DED}"/>
            </c:ext>
          </c:extLst>
        </c:ser>
        <c:ser>
          <c:idx val="3"/>
          <c:order val="3"/>
          <c:tx>
            <c:strRef>
              <c:f>'quartiles '!$H$8</c:f>
              <c:strCache>
                <c:ptCount val="1"/>
                <c:pt idx="0">
                  <c:v>4 top </c:v>
                </c:pt>
              </c:strCache>
            </c:strRef>
          </c:tx>
          <c:spPr>
            <a:solidFill>
              <a:schemeClr val="accent1">
                <a:lumMod val="50000"/>
              </a:schemeClr>
            </a:solidFill>
            <a:ln>
              <a:noFill/>
            </a:ln>
            <a:effectLst/>
          </c:spPr>
          <c:invertIfNegative val="0"/>
          <c:dLbls>
            <c:dLbl>
              <c:idx val="0"/>
              <c:layout>
                <c:manualLayout>
                  <c:x val="1.8967334035827187E-2"/>
                  <c:y val="-3.9950145015360187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DC6-4F39-AFD2-CB41B5382DED}"/>
                </c:ext>
              </c:extLst>
            </c:dLbl>
            <c:dLbl>
              <c:idx val="2"/>
              <c:layout>
                <c:manualLayout>
                  <c:x val="1.6859852476290793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DC6-4F39-AFD2-CB41B5382DED}"/>
                </c:ext>
              </c:extLst>
            </c:dLbl>
            <c:dLbl>
              <c:idx val="4"/>
              <c:layout>
                <c:manualLayout>
                  <c:x val="3.3719704952581663E-2"/>
                  <c:y val="-3.9950145015360187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DC6-4F39-AFD2-CB41B5382DED}"/>
                </c:ext>
              </c:extLst>
            </c:dLbl>
            <c:dLbl>
              <c:idx val="6"/>
              <c:layout>
                <c:manualLayout>
                  <c:x val="2.3182297154899816E-2"/>
                  <c:y val="8.716495968620613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DC6-4F39-AFD2-CB41B5382DED}"/>
                </c:ext>
              </c:extLst>
            </c:dLbl>
            <c:dLbl>
              <c:idx val="8"/>
              <c:layout>
                <c:manualLayout>
                  <c:x val="3.3719704952581663E-2"/>
                  <c:y val="-1.30747439529309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DC6-4F39-AFD2-CB41B5382DED}"/>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'quartiles '!$I$3:$R$4</c:f>
              <c:multiLvlStrCache>
                <c:ptCount val="10"/>
                <c:lvl>
                  <c:pt idx="0">
                    <c:v>female </c:v>
                  </c:pt>
                  <c:pt idx="1">
                    <c:v>male </c:v>
                  </c:pt>
                  <c:pt idx="2">
                    <c:v>female </c:v>
                  </c:pt>
                  <c:pt idx="3">
                    <c:v>male </c:v>
                  </c:pt>
                  <c:pt idx="4">
                    <c:v>female </c:v>
                  </c:pt>
                  <c:pt idx="5">
                    <c:v>male </c:v>
                  </c:pt>
                  <c:pt idx="6">
                    <c:v>female </c:v>
                  </c:pt>
                  <c:pt idx="7">
                    <c:v>male </c:v>
                  </c:pt>
                  <c:pt idx="8">
                    <c:v>female </c:v>
                  </c:pt>
                  <c:pt idx="9">
                    <c:v>male </c:v>
                  </c:pt>
                </c:lvl>
                <c:lvl>
                  <c:pt idx="0">
                    <c:v>2017 (77/23)</c:v>
                  </c:pt>
                  <c:pt idx="2">
                    <c:v>2018 (77/23)</c:v>
                  </c:pt>
                  <c:pt idx="4">
                    <c:v>2019 (78/22)</c:v>
                  </c:pt>
                  <c:pt idx="6">
                    <c:v>2020 (77/23)</c:v>
                  </c:pt>
                  <c:pt idx="8">
                    <c:v>2021 (78/22)</c:v>
                  </c:pt>
                </c:lvl>
              </c:multiLvlStrCache>
            </c:multiLvlStrRef>
          </c:cat>
          <c:val>
            <c:numRef>
              <c:f>'quartiles '!$I$8:$R$8</c:f>
              <c:numCache>
                <c:formatCode>0%</c:formatCode>
                <c:ptCount val="10"/>
                <c:pt idx="0">
                  <c:v>0.65</c:v>
                </c:pt>
                <c:pt idx="1">
                  <c:v>0.35</c:v>
                </c:pt>
                <c:pt idx="2">
                  <c:v>0.64</c:v>
                </c:pt>
                <c:pt idx="3">
                  <c:v>0.36</c:v>
                </c:pt>
                <c:pt idx="4">
                  <c:v>0.63</c:v>
                </c:pt>
                <c:pt idx="5">
                  <c:v>0.37</c:v>
                </c:pt>
                <c:pt idx="6">
                  <c:v>0.62</c:v>
                </c:pt>
                <c:pt idx="7">
                  <c:v>0.38</c:v>
                </c:pt>
                <c:pt idx="8">
                  <c:v>0.62549999999999994</c:v>
                </c:pt>
                <c:pt idx="9">
                  <c:v>0.3745</c:v>
                </c:pt>
              </c:numCache>
            </c:numRef>
          </c:val>
          <c:extLst>
            <c:ext xmlns:c16="http://schemas.microsoft.com/office/drawing/2014/chart" uri="{C3380CC4-5D6E-409C-BE32-E72D297353CC}">
              <c16:uniqueId val="{0000000C-6DC6-4F39-AFD2-CB41B5382DED}"/>
            </c:ext>
          </c:extLst>
        </c:ser>
        <c:dLbls>
          <c:showLegendKey val="0"/>
          <c:showVal val="0"/>
          <c:showCatName val="0"/>
          <c:showSerName val="0"/>
          <c:showPercent val="0"/>
          <c:showBubbleSize val="0"/>
        </c:dLbls>
        <c:gapWidth val="219"/>
        <c:overlap val="-27"/>
        <c:axId val="298447480"/>
        <c:axId val="298446696"/>
      </c:barChart>
      <c:catAx>
        <c:axId val="298447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298446696"/>
        <c:crosses val="autoZero"/>
        <c:auto val="1"/>
        <c:lblAlgn val="ctr"/>
        <c:lblOffset val="100"/>
        <c:noMultiLvlLbl val="0"/>
      </c:catAx>
      <c:valAx>
        <c:axId val="298446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crossAx val="298447480"/>
        <c:crosses val="autoZero"/>
        <c:crossBetween val="between"/>
      </c:valAx>
      <c:spPr>
        <a:noFill/>
        <a:ln>
          <a:noFill/>
        </a:ln>
        <a:effectLst/>
      </c:spPr>
    </c:plotArea>
    <c:legend>
      <c:legendPos val="b"/>
      <c:layout>
        <c:manualLayout>
          <c:xMode val="edge"/>
          <c:yMode val="edge"/>
          <c:x val="0.21405607228495807"/>
          <c:y val="0.91189192104411609"/>
          <c:w val="0.57188768948665403"/>
          <c:h val="8.8108078955883934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1" i="0" u="none" strike="noStrike" kern="1200" spc="0" baseline="0">
                <a:solidFill>
                  <a:sysClr val="windowText" lastClr="000000"/>
                </a:solidFill>
                <a:latin typeface="+mn-lt"/>
                <a:ea typeface="+mn-ea"/>
                <a:cs typeface="+mn-cs"/>
              </a:defRPr>
            </a:pPr>
            <a:r>
              <a:rPr lang="en-GB" sz="1200" b="1"/>
              <a:t>Luton - Pay Quartiles by Male  / Female 2017 to 2021</a:t>
            </a:r>
          </a:p>
        </c:rich>
      </c:tx>
      <c:layout/>
      <c:overlay val="0"/>
      <c:spPr>
        <a:noFill/>
        <a:ln>
          <a:noFill/>
        </a:ln>
        <a:effectLst/>
      </c:spPr>
      <c:txPr>
        <a:bodyPr rot="0" spcFirstLastPara="1" vertOverflow="ellipsis" vert="horz" wrap="square" anchor="ctr" anchorCtr="1"/>
        <a:lstStyle/>
        <a:p>
          <a:pPr algn="ctr" rtl="0">
            <a:defRPr sz="12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'quartiles '!$H$15</c:f>
              <c:strCache>
                <c:ptCount val="1"/>
                <c:pt idx="0">
                  <c:v>1 Lower </c:v>
                </c:pt>
              </c:strCache>
            </c:strRef>
          </c:tx>
          <c:spPr>
            <a:solidFill>
              <a:schemeClr val="accent3">
                <a:lumMod val="40000"/>
                <a:lumOff val="60000"/>
              </a:schemeClr>
            </a:solidFill>
            <a:ln>
              <a:noFill/>
            </a:ln>
            <a:effectLst/>
          </c:spPr>
          <c:invertIfNegative val="0"/>
          <c:cat>
            <c:multiLvlStrRef>
              <c:f>'quartiles '!$I$13:$R$14</c:f>
              <c:multiLvlStrCache>
                <c:ptCount val="10"/>
                <c:lvl>
                  <c:pt idx="0">
                    <c:v>female </c:v>
                  </c:pt>
                  <c:pt idx="1">
                    <c:v>male </c:v>
                  </c:pt>
                  <c:pt idx="2">
                    <c:v>female </c:v>
                  </c:pt>
                  <c:pt idx="3">
                    <c:v>male </c:v>
                  </c:pt>
                  <c:pt idx="4">
                    <c:v>female </c:v>
                  </c:pt>
                  <c:pt idx="5">
                    <c:v>male </c:v>
                  </c:pt>
                  <c:pt idx="6">
                    <c:v>female </c:v>
                  </c:pt>
                  <c:pt idx="7">
                    <c:v>male </c:v>
                  </c:pt>
                  <c:pt idx="8">
                    <c:v>female </c:v>
                  </c:pt>
                  <c:pt idx="9">
                    <c:v>male </c:v>
                  </c:pt>
                </c:lvl>
                <c:lvl>
                  <c:pt idx="0">
                    <c:v>2017 (80/20)</c:v>
                  </c:pt>
                  <c:pt idx="2">
                    <c:v>2018 (80/20)</c:v>
                  </c:pt>
                  <c:pt idx="4">
                    <c:v>2019 (80/20 </c:v>
                  </c:pt>
                  <c:pt idx="6">
                    <c:v>2020 (79/21)</c:v>
                  </c:pt>
                  <c:pt idx="8">
                    <c:v>2021 (78/22)</c:v>
                  </c:pt>
                </c:lvl>
              </c:multiLvlStrCache>
            </c:multiLvlStrRef>
          </c:cat>
          <c:val>
            <c:numRef>
              <c:f>'quartiles '!$I$15:$R$15</c:f>
              <c:numCache>
                <c:formatCode>0%</c:formatCode>
                <c:ptCount val="10"/>
                <c:pt idx="0">
                  <c:v>0.82</c:v>
                </c:pt>
                <c:pt idx="1">
                  <c:v>0.1794</c:v>
                </c:pt>
                <c:pt idx="2">
                  <c:v>0.84150000000000003</c:v>
                </c:pt>
                <c:pt idx="3">
                  <c:v>0.1585</c:v>
                </c:pt>
                <c:pt idx="4">
                  <c:v>0.83450000000000002</c:v>
                </c:pt>
                <c:pt idx="5">
                  <c:v>0.16550000000000001</c:v>
                </c:pt>
                <c:pt idx="6">
                  <c:v>0.83850000000000002</c:v>
                </c:pt>
                <c:pt idx="7">
                  <c:v>0.1615</c:v>
                </c:pt>
                <c:pt idx="8">
                  <c:v>0.82799999999999996</c:v>
                </c:pt>
                <c:pt idx="9">
                  <c:v>0.1719</c:v>
                </c:pt>
              </c:numCache>
            </c:numRef>
          </c:val>
          <c:extLst>
            <c:ext xmlns:c16="http://schemas.microsoft.com/office/drawing/2014/chart" uri="{C3380CC4-5D6E-409C-BE32-E72D297353CC}">
              <c16:uniqueId val="{00000000-732C-4A9A-83C9-D3B50E95EBCB}"/>
            </c:ext>
          </c:extLst>
        </c:ser>
        <c:ser>
          <c:idx val="1"/>
          <c:order val="1"/>
          <c:tx>
            <c:strRef>
              <c:f>'quartiles '!$H$16</c:f>
              <c:strCache>
                <c:ptCount val="1"/>
                <c:pt idx="0">
                  <c:v>2 Lower mid</c:v>
                </c:pt>
              </c:strCache>
            </c:strRef>
          </c:tx>
          <c:spPr>
            <a:solidFill>
              <a:schemeClr val="accent3">
                <a:lumMod val="60000"/>
                <a:lumOff val="40000"/>
              </a:schemeClr>
            </a:solidFill>
            <a:ln>
              <a:noFill/>
            </a:ln>
            <a:effectLst/>
          </c:spPr>
          <c:invertIfNegative val="0"/>
          <c:cat>
            <c:multiLvlStrRef>
              <c:f>'quartiles '!$I$13:$R$14</c:f>
              <c:multiLvlStrCache>
                <c:ptCount val="10"/>
                <c:lvl>
                  <c:pt idx="0">
                    <c:v>female </c:v>
                  </c:pt>
                  <c:pt idx="1">
                    <c:v>male </c:v>
                  </c:pt>
                  <c:pt idx="2">
                    <c:v>female </c:v>
                  </c:pt>
                  <c:pt idx="3">
                    <c:v>male </c:v>
                  </c:pt>
                  <c:pt idx="4">
                    <c:v>female </c:v>
                  </c:pt>
                  <c:pt idx="5">
                    <c:v>male </c:v>
                  </c:pt>
                  <c:pt idx="6">
                    <c:v>female </c:v>
                  </c:pt>
                  <c:pt idx="7">
                    <c:v>male </c:v>
                  </c:pt>
                  <c:pt idx="8">
                    <c:v>female </c:v>
                  </c:pt>
                  <c:pt idx="9">
                    <c:v>male </c:v>
                  </c:pt>
                </c:lvl>
                <c:lvl>
                  <c:pt idx="0">
                    <c:v>2017 (80/20)</c:v>
                  </c:pt>
                  <c:pt idx="2">
                    <c:v>2018 (80/20)</c:v>
                  </c:pt>
                  <c:pt idx="4">
                    <c:v>2019 (80/20 </c:v>
                  </c:pt>
                  <c:pt idx="6">
                    <c:v>2020 (79/21)</c:v>
                  </c:pt>
                  <c:pt idx="8">
                    <c:v>2021 (78/22)</c:v>
                  </c:pt>
                </c:lvl>
              </c:multiLvlStrCache>
            </c:multiLvlStrRef>
          </c:cat>
          <c:val>
            <c:numRef>
              <c:f>'quartiles '!$I$16:$R$16</c:f>
              <c:numCache>
                <c:formatCode>0%</c:formatCode>
                <c:ptCount val="10"/>
                <c:pt idx="0">
                  <c:v>0.85580000000000001</c:v>
                </c:pt>
                <c:pt idx="1">
                  <c:v>0.14419999999999999</c:v>
                </c:pt>
                <c:pt idx="2">
                  <c:v>0.83550000000000002</c:v>
                </c:pt>
                <c:pt idx="3">
                  <c:v>0.16450000000000001</c:v>
                </c:pt>
                <c:pt idx="4">
                  <c:v>0.85389999999999999</c:v>
                </c:pt>
                <c:pt idx="5">
                  <c:v>0.14610000000000001</c:v>
                </c:pt>
                <c:pt idx="6">
                  <c:v>0.84870000000000001</c:v>
                </c:pt>
                <c:pt idx="7">
                  <c:v>0.15129999999999999</c:v>
                </c:pt>
                <c:pt idx="8">
                  <c:v>0.84</c:v>
                </c:pt>
                <c:pt idx="9">
                  <c:v>0.16</c:v>
                </c:pt>
              </c:numCache>
            </c:numRef>
          </c:val>
          <c:extLst>
            <c:ext xmlns:c16="http://schemas.microsoft.com/office/drawing/2014/chart" uri="{C3380CC4-5D6E-409C-BE32-E72D297353CC}">
              <c16:uniqueId val="{00000001-732C-4A9A-83C9-D3B50E95EBCB}"/>
            </c:ext>
          </c:extLst>
        </c:ser>
        <c:ser>
          <c:idx val="2"/>
          <c:order val="2"/>
          <c:tx>
            <c:strRef>
              <c:f>'quartiles '!$H$17</c:f>
              <c:strCache>
                <c:ptCount val="1"/>
                <c:pt idx="0">
                  <c:v>3 Upper mid</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'quartiles '!$I$13:$R$14</c:f>
              <c:multiLvlStrCache>
                <c:ptCount val="10"/>
                <c:lvl>
                  <c:pt idx="0">
                    <c:v>female </c:v>
                  </c:pt>
                  <c:pt idx="1">
                    <c:v>male </c:v>
                  </c:pt>
                  <c:pt idx="2">
                    <c:v>female </c:v>
                  </c:pt>
                  <c:pt idx="3">
                    <c:v>male </c:v>
                  </c:pt>
                  <c:pt idx="4">
                    <c:v>female </c:v>
                  </c:pt>
                  <c:pt idx="5">
                    <c:v>male </c:v>
                  </c:pt>
                  <c:pt idx="6">
                    <c:v>female </c:v>
                  </c:pt>
                  <c:pt idx="7">
                    <c:v>male </c:v>
                  </c:pt>
                  <c:pt idx="8">
                    <c:v>female </c:v>
                  </c:pt>
                  <c:pt idx="9">
                    <c:v>male </c:v>
                  </c:pt>
                </c:lvl>
                <c:lvl>
                  <c:pt idx="0">
                    <c:v>2017 (80/20)</c:v>
                  </c:pt>
                  <c:pt idx="2">
                    <c:v>2018 (80/20)</c:v>
                  </c:pt>
                  <c:pt idx="4">
                    <c:v>2019 (80/20 </c:v>
                  </c:pt>
                  <c:pt idx="6">
                    <c:v>2020 (79/21)</c:v>
                  </c:pt>
                  <c:pt idx="8">
                    <c:v>2021 (78/22)</c:v>
                  </c:pt>
                </c:lvl>
              </c:multiLvlStrCache>
            </c:multiLvlStrRef>
          </c:cat>
          <c:val>
            <c:numRef>
              <c:f>'quartiles '!$I$17:$R$17</c:f>
              <c:numCache>
                <c:formatCode>0%</c:formatCode>
                <c:ptCount val="10"/>
                <c:pt idx="0">
                  <c:v>0.86529999999999996</c:v>
                </c:pt>
                <c:pt idx="1">
                  <c:v>0.13469999999999999</c:v>
                </c:pt>
                <c:pt idx="2">
                  <c:v>0.85699999999999998</c:v>
                </c:pt>
                <c:pt idx="3">
                  <c:v>0.14299999999999999</c:v>
                </c:pt>
                <c:pt idx="4">
                  <c:v>0.8548</c:v>
                </c:pt>
                <c:pt idx="5">
                  <c:v>0.1452</c:v>
                </c:pt>
                <c:pt idx="6">
                  <c:v>0.84450000000000003</c:v>
                </c:pt>
                <c:pt idx="7">
                  <c:v>0.1555</c:v>
                </c:pt>
                <c:pt idx="8">
                  <c:v>0.85</c:v>
                </c:pt>
                <c:pt idx="9">
                  <c:v>0.15</c:v>
                </c:pt>
              </c:numCache>
            </c:numRef>
          </c:val>
          <c:extLst>
            <c:ext xmlns:c16="http://schemas.microsoft.com/office/drawing/2014/chart" uri="{C3380CC4-5D6E-409C-BE32-E72D297353CC}">
              <c16:uniqueId val="{00000002-732C-4A9A-83C9-D3B50E95EBCB}"/>
            </c:ext>
          </c:extLst>
        </c:ser>
        <c:ser>
          <c:idx val="3"/>
          <c:order val="3"/>
          <c:tx>
            <c:strRef>
              <c:f>'quartiles '!$H$18</c:f>
              <c:strCache>
                <c:ptCount val="1"/>
                <c:pt idx="0">
                  <c:v>4 top </c:v>
                </c:pt>
              </c:strCache>
            </c:strRef>
          </c:tx>
          <c:spPr>
            <a:solidFill>
              <a:schemeClr val="accent3">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'quartiles '!$I$13:$R$14</c:f>
              <c:multiLvlStrCache>
                <c:ptCount val="10"/>
                <c:lvl>
                  <c:pt idx="0">
                    <c:v>female </c:v>
                  </c:pt>
                  <c:pt idx="1">
                    <c:v>male </c:v>
                  </c:pt>
                  <c:pt idx="2">
                    <c:v>female </c:v>
                  </c:pt>
                  <c:pt idx="3">
                    <c:v>male </c:v>
                  </c:pt>
                  <c:pt idx="4">
                    <c:v>female </c:v>
                  </c:pt>
                  <c:pt idx="5">
                    <c:v>male </c:v>
                  </c:pt>
                  <c:pt idx="6">
                    <c:v>female </c:v>
                  </c:pt>
                  <c:pt idx="7">
                    <c:v>male </c:v>
                  </c:pt>
                  <c:pt idx="8">
                    <c:v>female </c:v>
                  </c:pt>
                  <c:pt idx="9">
                    <c:v>male </c:v>
                  </c:pt>
                </c:lvl>
                <c:lvl>
                  <c:pt idx="0">
                    <c:v>2017 (80/20)</c:v>
                  </c:pt>
                  <c:pt idx="2">
                    <c:v>2018 (80/20)</c:v>
                  </c:pt>
                  <c:pt idx="4">
                    <c:v>2019 (80/20 </c:v>
                  </c:pt>
                  <c:pt idx="6">
                    <c:v>2020 (79/21)</c:v>
                  </c:pt>
                  <c:pt idx="8">
                    <c:v>2021 (78/22)</c:v>
                  </c:pt>
                </c:lvl>
              </c:multiLvlStrCache>
            </c:multiLvlStrRef>
          </c:cat>
          <c:val>
            <c:numRef>
              <c:f>'quartiles '!$I$18:$R$18</c:f>
              <c:numCache>
                <c:formatCode>0%</c:formatCode>
                <c:ptCount val="10"/>
                <c:pt idx="0">
                  <c:v>0.65</c:v>
                </c:pt>
                <c:pt idx="1">
                  <c:v>0.35</c:v>
                </c:pt>
                <c:pt idx="2">
                  <c:v>0.67490000000000006</c:v>
                </c:pt>
                <c:pt idx="3">
                  <c:v>0.3251</c:v>
                </c:pt>
                <c:pt idx="4">
                  <c:v>0.66900000000000004</c:v>
                </c:pt>
                <c:pt idx="5">
                  <c:v>0.33100000000000002</c:v>
                </c:pt>
                <c:pt idx="6">
                  <c:v>0.64580000000000004</c:v>
                </c:pt>
                <c:pt idx="7">
                  <c:v>0.35420000000000001</c:v>
                </c:pt>
                <c:pt idx="8">
                  <c:v>0.64</c:v>
                </c:pt>
                <c:pt idx="9">
                  <c:v>0.36</c:v>
                </c:pt>
              </c:numCache>
            </c:numRef>
          </c:val>
          <c:extLst>
            <c:ext xmlns:c16="http://schemas.microsoft.com/office/drawing/2014/chart" uri="{C3380CC4-5D6E-409C-BE32-E72D297353CC}">
              <c16:uniqueId val="{00000003-732C-4A9A-83C9-D3B50E95EBCB}"/>
            </c:ext>
          </c:extLst>
        </c:ser>
        <c:dLbls>
          <c:showLegendKey val="0"/>
          <c:showVal val="0"/>
          <c:showCatName val="0"/>
          <c:showSerName val="0"/>
          <c:showPercent val="0"/>
          <c:showBubbleSize val="0"/>
        </c:dLbls>
        <c:gapWidth val="219"/>
        <c:overlap val="-27"/>
        <c:axId val="298440424"/>
        <c:axId val="298445912"/>
        <c:extLst>
          <c:ext xmlns:c15="http://schemas.microsoft.com/office/drawing/2012/chart" uri="{02D57815-91ED-43cb-92C2-25804820EDAC}">
            <c15:filteredBarSeries>
              <c15:ser>
                <c:idx val="4"/>
                <c:order val="4"/>
                <c:tx>
                  <c:strRef>
                    <c:extLst>
                      <c:ext uri="{02D57815-91ED-43cb-92C2-25804820EDAC}">
                        <c15:formulaRef>
                          <c15:sqref>'quartiles '!$H$19</c15:sqref>
                        </c15:formulaRef>
                      </c:ext>
                    </c:extLst>
                    <c:strCache>
                      <c:ptCount val="1"/>
                    </c:strCache>
                  </c:strRef>
                </c:tx>
                <c:spPr>
                  <a:solidFill>
                    <a:schemeClr val="accent5"/>
                  </a:solidFill>
                  <a:ln>
                    <a:noFill/>
                  </a:ln>
                  <a:effectLst/>
                </c:spPr>
                <c:invertIfNegative val="0"/>
                <c:cat>
                  <c:multiLvlStrRef>
                    <c:extLst>
                      <c:ext uri="{02D57815-91ED-43cb-92C2-25804820EDAC}">
                        <c15:formulaRef>
                          <c15:sqref>'quartiles '!$I$13:$R$14</c15:sqref>
                        </c15:formulaRef>
                      </c:ext>
                    </c:extLst>
                    <c:multiLvlStrCache>
                      <c:ptCount val="10"/>
                      <c:lvl>
                        <c:pt idx="0">
                          <c:v>female </c:v>
                        </c:pt>
                        <c:pt idx="1">
                          <c:v>male </c:v>
                        </c:pt>
                        <c:pt idx="2">
                          <c:v>female </c:v>
                        </c:pt>
                        <c:pt idx="3">
                          <c:v>male </c:v>
                        </c:pt>
                        <c:pt idx="4">
                          <c:v>female </c:v>
                        </c:pt>
                        <c:pt idx="5">
                          <c:v>male </c:v>
                        </c:pt>
                        <c:pt idx="6">
                          <c:v>female </c:v>
                        </c:pt>
                        <c:pt idx="7">
                          <c:v>male </c:v>
                        </c:pt>
                        <c:pt idx="8">
                          <c:v>female </c:v>
                        </c:pt>
                        <c:pt idx="9">
                          <c:v>male </c:v>
                        </c:pt>
                      </c:lvl>
                      <c:lvl>
                        <c:pt idx="0">
                          <c:v>2017 (80/20)</c:v>
                        </c:pt>
                        <c:pt idx="2">
                          <c:v>2018 (80/20)</c:v>
                        </c:pt>
                        <c:pt idx="4">
                          <c:v>2019 (80/20 </c:v>
                        </c:pt>
                        <c:pt idx="6">
                          <c:v>2020 (79/21)</c:v>
                        </c:pt>
                        <c:pt idx="8">
                          <c:v>2021 (78/22)</c:v>
                        </c:pt>
                      </c:lvl>
                    </c:multiLvlStrCache>
                  </c:multiLvlStrRef>
                </c:cat>
                <c:val>
                  <c:numRef>
                    <c:extLst>
                      <c:ext uri="{02D57815-91ED-43cb-92C2-25804820EDAC}">
                        <c15:formulaRef>
                          <c15:sqref>'quartiles '!$I$19:$R$19</c15:sqref>
                        </c15:formulaRef>
                      </c:ext>
                    </c:extLst>
                    <c:numCache>
                      <c:formatCode>General</c:formatCode>
                      <c:ptCount val="10"/>
                    </c:numCache>
                  </c:numRef>
                </c:val>
                <c:extLst>
                  <c:ext xmlns:c16="http://schemas.microsoft.com/office/drawing/2014/chart" uri="{C3380CC4-5D6E-409C-BE32-E72D297353CC}">
                    <c16:uniqueId val="{00000004-732C-4A9A-83C9-D3B50E95EBCB}"/>
                  </c:ext>
                </c:extLst>
              </c15:ser>
            </c15:filteredBarSeries>
          </c:ext>
        </c:extLst>
      </c:barChart>
      <c:catAx>
        <c:axId val="298440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298445912"/>
        <c:crosses val="autoZero"/>
        <c:auto val="1"/>
        <c:lblAlgn val="ctr"/>
        <c:lblOffset val="100"/>
        <c:noMultiLvlLbl val="0"/>
      </c:catAx>
      <c:valAx>
        <c:axId val="298445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298440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E6F86-66F5-4250-AA7B-D0FD8888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5867</Words>
  <Characters>33445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Luton &amp; Dunstable Hospital</Company>
  <LinksUpToDate>false</LinksUpToDate>
  <CharactersWithSpaces>39234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Housden Doreen (RC9) Luton &amp; Dunstable Hospital TR</dc:creator>
  <cp:lastModifiedBy>Victoria Parsons</cp:lastModifiedBy>
  <cp:revision>3</cp:revision>
  <cp:lastPrinted>2022-05-05T09:40:00Z</cp:lastPrinted>
  <dcterms:created xsi:type="dcterms:W3CDTF">2023-03-31T07:35:00Z</dcterms:created>
  <dcterms:modified xsi:type="dcterms:W3CDTF">2023-03-31T07:36:00Z</dcterms:modified>
</cp:coreProperties>
</file>