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5195FCA8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093F67">
        <w:rPr>
          <w:noProof/>
          <w:color w:val="auto"/>
          <w:sz w:val="24"/>
          <w:szCs w:val="24"/>
        </w:rPr>
        <w:t>02/11/2022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5173C4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C90A71A" w:rsidR="008C4186" w:rsidRPr="00093F67" w:rsidRDefault="008C4186" w:rsidP="009B266D">
      <w:pPr>
        <w:spacing w:after="5" w:line="250" w:lineRule="auto"/>
        <w:ind w:left="10" w:right="25" w:hanging="10"/>
        <w:rPr>
          <w:rFonts w:ascii="Arial" w:hAnsi="Arial" w:cs="Arial"/>
          <w:b/>
          <w:color w:val="auto"/>
        </w:rPr>
      </w:pPr>
    </w:p>
    <w:p w14:paraId="456A2F63" w14:textId="77777777" w:rsidR="00093F67" w:rsidRPr="00093F67" w:rsidRDefault="00093F67" w:rsidP="00093F6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Does the Trust make use of outsourced tele-radiology reporting services for routine radiology reporting?</w:t>
      </w:r>
    </w:p>
    <w:p w14:paraId="11CED75D" w14:textId="1365DA08" w:rsidR="00093F67" w:rsidRP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Yes</w:t>
      </w:r>
    </w:p>
    <w:p w14:paraId="0370A6FD" w14:textId="77777777" w:rsidR="00093F67" w:rsidRP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auto"/>
        </w:rPr>
      </w:pPr>
    </w:p>
    <w:p w14:paraId="32C6B218" w14:textId="77777777" w:rsidR="00093F67" w:rsidRPr="00093F67" w:rsidRDefault="00093F67" w:rsidP="00093F6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If you do make use of tele-radiology reporting, please provide the names of the providers of each service (on-call and elective separately please)?</w:t>
      </w:r>
    </w:p>
    <w:p w14:paraId="0676C249" w14:textId="77777777" w:rsid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Medica (On-call and Elective) </w:t>
      </w:r>
    </w:p>
    <w:p w14:paraId="0F85BC60" w14:textId="0D7CC3F8" w:rsidR="00093F67" w:rsidRP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InHealth (Elective)</w:t>
      </w:r>
    </w:p>
    <w:p w14:paraId="46BE4DF8" w14:textId="77777777" w:rsidR="00093F67" w:rsidRPr="00093F67" w:rsidRDefault="00093F67" w:rsidP="00093F67">
      <w:p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auto"/>
        </w:rPr>
      </w:pPr>
    </w:p>
    <w:p w14:paraId="64C57083" w14:textId="40E4405B" w:rsidR="00093F67" w:rsidRPr="00093F67" w:rsidRDefault="00093F67" w:rsidP="00093F6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If you do make use of tele-radiology reporting services, please provide the annual volumes for both 2021 and for 2022 sent to each provider, broken into the following:</w:t>
      </w:r>
    </w:p>
    <w:p w14:paraId="057A2D88" w14:textId="77777777" w:rsidR="00093F67" w:rsidRPr="00093F67" w:rsidRDefault="00093F67" w:rsidP="00093F67">
      <w:pPr>
        <w:shd w:val="clear" w:color="auto" w:fill="FFFFFF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·  Overnight on-call</w:t>
      </w:r>
    </w:p>
    <w:p w14:paraId="3B316903" w14:textId="77777777" w:rsidR="00093F67" w:rsidRPr="00093F67" w:rsidRDefault="00093F67" w:rsidP="00093F67">
      <w:pPr>
        <w:shd w:val="clear" w:color="auto" w:fill="FFFFFF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·  Elective Reporting (MRI, CT)</w:t>
      </w:r>
    </w:p>
    <w:p w14:paraId="7196712D" w14:textId="77777777" w:rsidR="00093F67" w:rsidRPr="00093F67" w:rsidRDefault="00093F67" w:rsidP="00093F67">
      <w:pPr>
        <w:shd w:val="clear" w:color="auto" w:fill="FFFFFF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·  Plain Film Reporting</w:t>
      </w:r>
    </w:p>
    <w:p w14:paraId="3380CA6D" w14:textId="77777777" w:rsidR="00093F67" w:rsidRPr="00093F67" w:rsidRDefault="00093F67" w:rsidP="00093F67">
      <w:pPr>
        <w:shd w:val="clear" w:color="auto" w:fill="FFFFFF"/>
        <w:spacing w:after="0" w:line="240" w:lineRule="auto"/>
        <w:ind w:left="720" w:hanging="360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·  Split into each hospital within the Trust</w:t>
      </w:r>
    </w:p>
    <w:p w14:paraId="6EE293D5" w14:textId="7777777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054E433A" w14:textId="77777777" w:rsidR="00093F67" w:rsidRP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In financial year 2020/21 the contract changed mid-year from Everlight to Medica.  The total figures are shown.</w:t>
      </w:r>
    </w:p>
    <w:p w14:paraId="2675AA77" w14:textId="7777777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0B195905" w14:textId="77777777" w:rsidR="00093F67" w:rsidRPr="00093F67" w:rsidRDefault="00093F67" w:rsidP="00093F67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At the Luton &amp; Dunstable site:</w:t>
      </w:r>
    </w:p>
    <w:tbl>
      <w:tblPr>
        <w:tblW w:w="6946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200"/>
        <w:gridCol w:w="1200"/>
        <w:gridCol w:w="2138"/>
      </w:tblGrid>
      <w:tr w:rsidR="00093F67" w:rsidRPr="00093F67" w14:paraId="76F4F5B3" w14:textId="77777777" w:rsidTr="00093F67">
        <w:trPr>
          <w:trHeight w:val="300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8DAB9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BD71B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X-ray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7EFDD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CT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9CEF1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MRI</w:t>
            </w:r>
          </w:p>
        </w:tc>
      </w:tr>
      <w:tr w:rsidR="00093F67" w:rsidRPr="00093F67" w14:paraId="73A14DD1" w14:textId="77777777" w:rsidTr="00093F67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2C180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Medica/Everlight On Call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60D82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13567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5017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A8FF3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2</w:t>
            </w:r>
          </w:p>
        </w:tc>
      </w:tr>
      <w:tr w:rsidR="00093F67" w:rsidRPr="00093F67" w14:paraId="16CF84A3" w14:textId="77777777" w:rsidTr="00093F67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34463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Medica/Everlight Elective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34E5F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14214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28C7F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2598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4B2E2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2192</w:t>
            </w:r>
          </w:p>
        </w:tc>
      </w:tr>
    </w:tbl>
    <w:p w14:paraId="3220107F" w14:textId="7777777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1325A338" w14:textId="1D40566F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  At the Bedford site:</w:t>
      </w:r>
    </w:p>
    <w:tbl>
      <w:tblPr>
        <w:tblW w:w="6946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200"/>
        <w:gridCol w:w="1200"/>
        <w:gridCol w:w="2138"/>
      </w:tblGrid>
      <w:tr w:rsidR="00093F67" w:rsidRPr="00093F67" w14:paraId="012FEBE1" w14:textId="77777777" w:rsidTr="00093F67">
        <w:trPr>
          <w:trHeight w:val="300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34EF9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95FB5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X-ray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94D8B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CT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0761B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MRI</w:t>
            </w:r>
          </w:p>
        </w:tc>
      </w:tr>
      <w:tr w:rsidR="00093F67" w:rsidRPr="00093F67" w14:paraId="6A898143" w14:textId="77777777" w:rsidTr="00093F67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8C7AB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Medica/Everlight On Call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B60E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4E848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5478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FBBEE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</w:tr>
      <w:tr w:rsidR="00093F67" w:rsidRPr="00093F67" w14:paraId="50E54FE6" w14:textId="77777777" w:rsidTr="00093F67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0DE8D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Medica/Everlight Elective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6A0B0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F5521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1C0FB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595</w:t>
            </w:r>
          </w:p>
        </w:tc>
      </w:tr>
      <w:tr w:rsidR="00093F67" w:rsidRPr="00093F67" w14:paraId="6D4BE9DD" w14:textId="77777777" w:rsidTr="00093F67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07FE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InHealth Elective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A6228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45773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46BED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D434D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</w:tr>
    </w:tbl>
    <w:p w14:paraId="1457BE18" w14:textId="7777777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05246D79" w14:textId="00D8521F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lastRenderedPageBreak/>
        <w:t xml:space="preserve">    In financial Year 2021/22 the figures are:</w:t>
      </w:r>
    </w:p>
    <w:p w14:paraId="61886AC2" w14:textId="7777777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49749055" w14:textId="3845EBB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 At the Luton &amp; Dunstable site:</w:t>
      </w:r>
    </w:p>
    <w:tbl>
      <w:tblPr>
        <w:tblW w:w="6946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325"/>
        <w:gridCol w:w="1134"/>
        <w:gridCol w:w="2098"/>
      </w:tblGrid>
      <w:tr w:rsidR="00093F67" w:rsidRPr="00093F67" w14:paraId="5097F942" w14:textId="77777777" w:rsidTr="00093F67">
        <w:trPr>
          <w:trHeight w:val="300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1F063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FC1D5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X-ray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BE73D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CT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2E780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MRI</w:t>
            </w:r>
          </w:p>
        </w:tc>
      </w:tr>
      <w:tr w:rsidR="00093F67" w:rsidRPr="00093F67" w14:paraId="646CC628" w14:textId="77777777" w:rsidTr="00093F67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2380F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Medica On Call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D848C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2B451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6758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C6FE0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7</w:t>
            </w:r>
          </w:p>
        </w:tc>
      </w:tr>
      <w:tr w:rsidR="00093F67" w:rsidRPr="00093F67" w14:paraId="6C722614" w14:textId="77777777" w:rsidTr="00093F67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AC7F2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Medica Elective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55978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6202A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4900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CE7B7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3796</w:t>
            </w:r>
          </w:p>
        </w:tc>
      </w:tr>
    </w:tbl>
    <w:p w14:paraId="722BBBDB" w14:textId="7777777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12D2C4A9" w14:textId="57D62AEE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 At the Bedford site:</w:t>
      </w:r>
    </w:p>
    <w:tbl>
      <w:tblPr>
        <w:tblW w:w="6946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325"/>
        <w:gridCol w:w="1134"/>
        <w:gridCol w:w="2098"/>
      </w:tblGrid>
      <w:tr w:rsidR="00093F67" w:rsidRPr="00093F67" w14:paraId="52F80C09" w14:textId="77777777" w:rsidTr="00093F67">
        <w:trPr>
          <w:trHeight w:val="300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F43DD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B3F2A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X-ray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30BD7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CT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A3249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MRI</w:t>
            </w:r>
          </w:p>
        </w:tc>
      </w:tr>
      <w:tr w:rsidR="00093F67" w:rsidRPr="00093F67" w14:paraId="151F54B1" w14:textId="77777777" w:rsidTr="00093F67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2963B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Medica On Call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A0A8F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3E178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6467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DAA69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114</w:t>
            </w:r>
          </w:p>
        </w:tc>
      </w:tr>
      <w:tr w:rsidR="00093F67" w:rsidRPr="00093F67" w14:paraId="35F86350" w14:textId="77777777" w:rsidTr="00093F67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0B5E8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Medica Elective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F7A8C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2157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D0AAE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F6310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691</w:t>
            </w:r>
          </w:p>
        </w:tc>
      </w:tr>
      <w:tr w:rsidR="00093F67" w:rsidRPr="00093F67" w14:paraId="36215411" w14:textId="77777777" w:rsidTr="00093F67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6B7BA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InHealth Elective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30EDF" w14:textId="77777777" w:rsidR="00093F67" w:rsidRPr="00093F67" w:rsidRDefault="00093F67" w:rsidP="00093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64080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E529B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3FD18" w14:textId="77777777" w:rsidR="00093F67" w:rsidRPr="00093F67" w:rsidRDefault="00093F67" w:rsidP="00093F67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093F67">
              <w:rPr>
                <w:rFonts w:ascii="Arial" w:eastAsia="Times New Roman" w:hAnsi="Arial" w:cs="Arial"/>
                <w:color w:val="auto"/>
                <w:bdr w:val="none" w:sz="0" w:space="0" w:color="auto" w:frame="1"/>
              </w:rPr>
              <w:t> </w:t>
            </w:r>
          </w:p>
        </w:tc>
      </w:tr>
    </w:tbl>
    <w:p w14:paraId="5B41AC41" w14:textId="7777777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bdr w:val="none" w:sz="0" w:space="0" w:color="auto" w:frame="1"/>
        </w:rPr>
      </w:pPr>
    </w:p>
    <w:p w14:paraId="7DCDA615" w14:textId="73D8B26B" w:rsidR="00093F67" w:rsidRPr="00093F67" w:rsidRDefault="00093F67" w:rsidP="00093F6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Start date, duration and end date of any contracts with tele-radiology providers?</w:t>
      </w:r>
    </w:p>
    <w:p w14:paraId="5569691E" w14:textId="39F65EA0" w:rsidR="00093F67" w:rsidRPr="00093F67" w:rsidRDefault="00093F67" w:rsidP="00093F6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Current contract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started with Medica in </w:t>
      </w: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2020.  Three-year contract, with option to extend in one year blocks.</w:t>
      </w:r>
    </w:p>
    <w:p w14:paraId="47F2768B" w14:textId="77777777" w:rsidR="00093F67" w:rsidRPr="00093F67" w:rsidRDefault="00093F67" w:rsidP="00093F6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78009103" w14:textId="4D7F0681" w:rsidR="00093F67" w:rsidRPr="00093F67" w:rsidRDefault="00093F67" w:rsidP="00093F6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InHealth Contract started 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at the Bedford site only in </w:t>
      </w: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>2018.  On-going contract.</w:t>
      </w:r>
    </w:p>
    <w:p w14:paraId="4126E802" w14:textId="77777777" w:rsidR="00093F67" w:rsidRPr="00093F67" w:rsidRDefault="00093F67" w:rsidP="00093F6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auto"/>
        </w:rPr>
      </w:pPr>
    </w:p>
    <w:p w14:paraId="724E44D3" w14:textId="48C82457" w:rsidR="00093F67" w:rsidRPr="00093F67" w:rsidRDefault="00093F67" w:rsidP="00093F6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Was the contract procured via a framework (direct award, which framework?), mini-tender, or ITT procurement process?</w:t>
      </w:r>
    </w:p>
    <w:p w14:paraId="3FB33D94" w14:textId="79802D3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    Procurement via NHS Supply Chain framework</w:t>
      </w:r>
    </w:p>
    <w:p w14:paraId="7005D721" w14:textId="77777777" w:rsidR="00093F67" w:rsidRPr="00093F67" w:rsidRDefault="00093F67" w:rsidP="0009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 </w:t>
      </w:r>
    </w:p>
    <w:p w14:paraId="7BDDF319" w14:textId="77777777" w:rsidR="00093F67" w:rsidRPr="00093F67" w:rsidRDefault="00093F67" w:rsidP="00093F6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Who is the senior officer (outside of procurement) responsible for this contract</w:t>
      </w:r>
    </w:p>
    <w:p w14:paraId="6831FA3E" w14:textId="18BF696B" w:rsid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>
        <w:rPr>
          <w:rFonts w:ascii="Arial" w:eastAsia="Times New Roman" w:hAnsi="Arial" w:cs="Arial"/>
          <w:color w:val="auto"/>
          <w:bdr w:val="none" w:sz="0" w:space="0" w:color="auto" w:frame="1"/>
        </w:rPr>
        <w:t>This is exempt under Section 40 – Personal Information</w:t>
      </w:r>
    </w:p>
    <w:p w14:paraId="023BF1AF" w14:textId="4E3129DB" w:rsid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hyperlink r:id="rId12" w:history="1">
        <w:r>
          <w:rPr>
            <w:rStyle w:val="Hyperlink"/>
          </w:rPr>
          <w:t>Whos-Who-1-April-2022.pdf (bedfordshirehospitals.nhs.uk)</w:t>
        </w:r>
      </w:hyperlink>
      <w:bookmarkStart w:id="0" w:name="_GoBack"/>
      <w:bookmarkEnd w:id="0"/>
    </w:p>
    <w:p w14:paraId="5C52562C" w14:textId="77777777" w:rsidR="00093F67" w:rsidRP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auto"/>
          <w:bdr w:val="none" w:sz="0" w:space="0" w:color="auto" w:frame="1"/>
        </w:rPr>
      </w:pPr>
    </w:p>
    <w:p w14:paraId="5E7C6371" w14:textId="642F8135" w:rsidR="00093F67" w:rsidRPr="00093F67" w:rsidRDefault="00093F67" w:rsidP="00093F6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93F67">
        <w:rPr>
          <w:rFonts w:ascii="Arial" w:eastAsia="Times New Roman" w:hAnsi="Arial" w:cs="Arial"/>
          <w:b/>
          <w:color w:val="auto"/>
          <w:bdr w:val="none" w:sz="0" w:space="0" w:color="auto" w:frame="1"/>
        </w:rPr>
        <w:t>Who is the non-clinical manager/service manager that is responsible for this contract?</w:t>
      </w:r>
    </w:p>
    <w:p w14:paraId="359B0FF1" w14:textId="4F1FA839" w:rsid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>
        <w:rPr>
          <w:rFonts w:ascii="Arial" w:eastAsia="Times New Roman" w:hAnsi="Arial" w:cs="Arial"/>
          <w:color w:val="auto"/>
          <w:bdr w:val="none" w:sz="0" w:space="0" w:color="auto" w:frame="1"/>
        </w:rPr>
        <w:t>This is exempt under Section 40 – Personal Information</w:t>
      </w:r>
    </w:p>
    <w:p w14:paraId="0C85819B" w14:textId="226A811E" w:rsid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hyperlink r:id="rId13" w:history="1">
        <w:r>
          <w:rPr>
            <w:rStyle w:val="Hyperlink"/>
          </w:rPr>
          <w:t>Whos-Who-1-April-2022.pdf (bedfordshirehospitals.nhs.uk)</w:t>
        </w:r>
      </w:hyperlink>
    </w:p>
    <w:p w14:paraId="69550C95" w14:textId="59629280" w:rsidR="00093F67" w:rsidRPr="00093F67" w:rsidRDefault="00093F67" w:rsidP="00093F67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</w:p>
    <w:p w14:paraId="5E6757C7" w14:textId="7D56DE5C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089D715A" w14:textId="77777777" w:rsidR="00093F67" w:rsidRPr="00921999" w:rsidRDefault="00093F67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4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5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6"/>
      <w:footerReference w:type="default" r:id="rId17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82BF8"/>
    <w:multiLevelType w:val="hybridMultilevel"/>
    <w:tmpl w:val="03B21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3A61"/>
    <w:multiLevelType w:val="hybridMultilevel"/>
    <w:tmpl w:val="C0B2F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0"/>
  </w:num>
  <w:num w:numId="19">
    <w:abstractNumId w:val="2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3F67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gmail-msolistparagraph">
    <w:name w:val="x_xgmail-msolistparagraph"/>
    <w:basedOn w:val="Normal"/>
    <w:rsid w:val="0009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elementtoproof">
    <w:name w:val="x_elementtoproof"/>
    <w:basedOn w:val="Normal"/>
    <w:rsid w:val="0009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dfordshirehospitals.nhs.uk/wp-content/uploads/2022/06/Whos-Who-1-April-2022.pdf" TargetMode="External"/><Relationship Id="rId18" Type="http://schemas.openxmlformats.org/officeDocument/2006/relationships/fontTable" Target="fontTable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dfordshirehospitals.nhs.uk/wp-content/uploads/2022/06/Whos-Who-1-April-202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ico.org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8420e9b2-38da-45c1-b83f-53d2eb97209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D9800-53FF-47C1-B415-1C6789F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2022-11-02T10:31:00Z</dcterms:created>
  <dcterms:modified xsi:type="dcterms:W3CDTF">2022-11-02T10:31:00Z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