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652FC8AB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330D0D">
        <w:rPr>
          <w:noProof/>
          <w:color w:val="auto"/>
          <w:sz w:val="24"/>
          <w:szCs w:val="24"/>
        </w:rPr>
        <w:t>28/10/2022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2F183F41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330D0D">
        <w:rPr>
          <w:b/>
          <w:color w:val="212121"/>
          <w:sz w:val="24"/>
        </w:rPr>
        <w:t>1713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18282564" w14:textId="732826CB" w:rsidR="00330D0D" w:rsidRPr="00330D0D" w:rsidRDefault="00A66DA2" w:rsidP="00330D0D">
      <w:pPr>
        <w:spacing w:after="5" w:line="250" w:lineRule="auto"/>
        <w:ind w:left="10" w:right="25" w:hanging="10"/>
        <w:rPr>
          <w:color w:val="auto"/>
          <w:sz w:val="24"/>
          <w:szCs w:val="24"/>
        </w:rPr>
      </w:pPr>
      <w:r>
        <w:rPr>
          <w:sz w:val="24"/>
          <w:szCs w:val="24"/>
        </w:rPr>
        <w:t>You asked:</w:t>
      </w:r>
      <w:r w:rsidR="00330D0D" w:rsidRPr="00330D0D">
        <w:rPr>
          <w:rFonts w:eastAsia="Times New Roman"/>
          <w:color w:val="242424"/>
        </w:rPr>
        <w:br/>
        <w:t> </w:t>
      </w:r>
    </w:p>
    <w:p w14:paraId="2EA8618C" w14:textId="0CB2FC59" w:rsidR="00330D0D" w:rsidRPr="00330D0D" w:rsidRDefault="00330D0D" w:rsidP="00330D0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330D0D">
        <w:rPr>
          <w:rFonts w:eastAsia="Times New Roman"/>
          <w:b/>
          <w:color w:val="auto"/>
        </w:rPr>
        <w:t>Does your trust have a consultant lead for intravenous fluid therapy? If so, how many PAs of consultant time are allocated?</w:t>
      </w:r>
      <w:r w:rsidRPr="00330D0D">
        <w:rPr>
          <w:rFonts w:eastAsia="Times New Roman"/>
          <w:color w:val="auto"/>
        </w:rPr>
        <w:t xml:space="preserve">  </w:t>
      </w:r>
    </w:p>
    <w:p w14:paraId="572F230D" w14:textId="4146679C" w:rsidR="00330D0D" w:rsidRPr="00330D0D" w:rsidRDefault="00330D0D" w:rsidP="00330D0D">
      <w:pPr>
        <w:pStyle w:val="ListParagraph"/>
        <w:shd w:val="clear" w:color="auto" w:fill="FFFFFF"/>
        <w:spacing w:after="0" w:line="240" w:lineRule="auto"/>
        <w:ind w:left="780"/>
        <w:rPr>
          <w:rFonts w:eastAsia="Times New Roman"/>
          <w:color w:val="auto"/>
        </w:rPr>
      </w:pPr>
      <w:r w:rsidRPr="00330D0D">
        <w:rPr>
          <w:rFonts w:eastAsia="Times New Roman"/>
          <w:color w:val="auto"/>
          <w:bdr w:val="none" w:sz="0" w:space="0" w:color="auto" w:frame="1"/>
        </w:rPr>
        <w:t>Th</w:t>
      </w:r>
      <w:r>
        <w:rPr>
          <w:rFonts w:eastAsia="Times New Roman"/>
          <w:color w:val="auto"/>
          <w:bdr w:val="none" w:sz="0" w:space="0" w:color="auto" w:frame="1"/>
        </w:rPr>
        <w:t>e trust has a named consultant lead for IV fluid therapy – 0.25PA</w:t>
      </w:r>
    </w:p>
    <w:p w14:paraId="46608CA1" w14:textId="77777777" w:rsidR="00330D0D" w:rsidRPr="00330D0D" w:rsidRDefault="00330D0D" w:rsidP="00330D0D">
      <w:pPr>
        <w:shd w:val="clear" w:color="auto" w:fill="FFFFFF"/>
        <w:spacing w:after="0" w:line="240" w:lineRule="auto"/>
        <w:ind w:left="720"/>
        <w:rPr>
          <w:rFonts w:eastAsia="Times New Roman"/>
          <w:b/>
          <w:color w:val="auto"/>
        </w:rPr>
      </w:pPr>
      <w:r w:rsidRPr="00330D0D">
        <w:rPr>
          <w:rFonts w:eastAsia="Times New Roman"/>
          <w:b/>
          <w:color w:val="auto"/>
        </w:rPr>
        <w:t> </w:t>
      </w:r>
    </w:p>
    <w:p w14:paraId="56CEF5C6" w14:textId="77777777" w:rsidR="00330D0D" w:rsidRPr="00330D0D" w:rsidRDefault="00330D0D" w:rsidP="00330D0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b/>
          <w:color w:val="auto"/>
        </w:rPr>
      </w:pPr>
      <w:r w:rsidRPr="00330D0D">
        <w:rPr>
          <w:rFonts w:eastAsia="Times New Roman"/>
          <w:b/>
          <w:color w:val="auto"/>
        </w:rPr>
        <w:t>Does your trust have a nursing lead for intravenous fluid therapy? If so, how many whole-time equivalents deliver this role?  </w:t>
      </w:r>
    </w:p>
    <w:p w14:paraId="00FFCD57" w14:textId="68128879" w:rsidR="00330D0D" w:rsidRPr="00330D0D" w:rsidRDefault="00330D0D" w:rsidP="00330D0D">
      <w:pPr>
        <w:shd w:val="clear" w:color="auto" w:fill="FFFFFF"/>
        <w:spacing w:after="0" w:line="240" w:lineRule="auto"/>
        <w:ind w:left="720"/>
        <w:rPr>
          <w:rFonts w:eastAsia="Times New Roman"/>
          <w:color w:val="auto"/>
        </w:rPr>
      </w:pPr>
      <w:r w:rsidRPr="00330D0D">
        <w:rPr>
          <w:rFonts w:eastAsia="Times New Roman"/>
          <w:color w:val="auto"/>
        </w:rPr>
        <w:t>The Trust </w:t>
      </w:r>
      <w:r>
        <w:rPr>
          <w:rFonts w:eastAsia="Times New Roman"/>
          <w:color w:val="auto"/>
          <w:bdr w:val="none" w:sz="0" w:space="0" w:color="auto" w:frame="1"/>
        </w:rPr>
        <w:t xml:space="preserve">has no specific nursing </w:t>
      </w:r>
      <w:r w:rsidRPr="00330D0D">
        <w:rPr>
          <w:rFonts w:eastAsia="Times New Roman"/>
          <w:color w:val="auto"/>
          <w:bdr w:val="none" w:sz="0" w:space="0" w:color="auto" w:frame="1"/>
        </w:rPr>
        <w:t>lead for IV fluid therapy.  </w:t>
      </w:r>
    </w:p>
    <w:p w14:paraId="707535B4" w14:textId="77777777" w:rsidR="00330D0D" w:rsidRPr="00330D0D" w:rsidRDefault="00330D0D" w:rsidP="00330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30D0D">
        <w:rPr>
          <w:rFonts w:eastAsia="Times New Roman"/>
          <w:color w:val="auto"/>
          <w:bdr w:val="none" w:sz="0" w:space="0" w:color="auto" w:frame="1"/>
        </w:rPr>
        <w:t> </w:t>
      </w:r>
    </w:p>
    <w:p w14:paraId="07F94266" w14:textId="0074E826" w:rsidR="00330D0D" w:rsidRPr="00330D0D" w:rsidRDefault="00330D0D" w:rsidP="00330D0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b/>
          <w:color w:val="auto"/>
        </w:rPr>
      </w:pPr>
      <w:r w:rsidRPr="00330D0D">
        <w:rPr>
          <w:rFonts w:eastAsia="Times New Roman"/>
          <w:b/>
          <w:color w:val="auto"/>
        </w:rPr>
        <w:t>Does your trust have an intravenous fluid therapy policy based on NICE Clinical Guideline 174 (CG174 Intravenous fluid therapy in adults in hospital)?</w:t>
      </w:r>
    </w:p>
    <w:p w14:paraId="5B9A35F2" w14:textId="5CB7886A" w:rsidR="00330D0D" w:rsidRPr="00330D0D" w:rsidRDefault="00330D0D" w:rsidP="00330D0D">
      <w:pPr>
        <w:pStyle w:val="ListParagraph"/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330D0D">
        <w:rPr>
          <w:rFonts w:eastAsia="Times New Roman"/>
          <w:color w:val="auto"/>
          <w:bdr w:val="none" w:sz="0" w:space="0" w:color="auto" w:frame="1"/>
        </w:rPr>
        <w:t>The trust does not have a specific policy on IV fluid therapy, but practices in line with NICE CG 174 guidance.</w:t>
      </w:r>
    </w:p>
    <w:p w14:paraId="46147E86" w14:textId="77777777" w:rsidR="00330D0D" w:rsidRPr="00330D0D" w:rsidRDefault="00330D0D" w:rsidP="00330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30D0D">
        <w:rPr>
          <w:rFonts w:eastAsia="Times New Roman"/>
          <w:color w:val="auto"/>
          <w:bdr w:val="none" w:sz="0" w:space="0" w:color="auto" w:frame="1"/>
        </w:rPr>
        <w:t> </w:t>
      </w:r>
    </w:p>
    <w:p w14:paraId="2DCA89DE" w14:textId="77777777" w:rsidR="00330D0D" w:rsidRPr="00330D0D" w:rsidRDefault="00330D0D" w:rsidP="00330D0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/>
          <w:b/>
          <w:color w:val="auto"/>
        </w:rPr>
      </w:pPr>
      <w:r w:rsidRPr="00330D0D">
        <w:rPr>
          <w:rFonts w:eastAsia="Times New Roman"/>
          <w:b/>
          <w:color w:val="auto"/>
        </w:rPr>
        <w:t>Does your trust audit compliance with this intravenous fluid management policy? </w:t>
      </w:r>
    </w:p>
    <w:p w14:paraId="1B46ACF4" w14:textId="2A0A6658" w:rsidR="00330D0D" w:rsidRPr="00330D0D" w:rsidRDefault="00330D0D" w:rsidP="00330D0D">
      <w:pPr>
        <w:shd w:val="clear" w:color="auto" w:fill="FFFFFF"/>
        <w:spacing w:after="0" w:line="240" w:lineRule="auto"/>
        <w:ind w:left="720"/>
        <w:rPr>
          <w:rFonts w:eastAsia="Times New Roman"/>
          <w:color w:val="auto"/>
        </w:rPr>
      </w:pPr>
      <w:r w:rsidRPr="00330D0D">
        <w:rPr>
          <w:rFonts w:eastAsia="Times New Roman"/>
          <w:color w:val="auto"/>
          <w:bdr w:val="none" w:sz="0" w:space="0" w:color="auto" w:frame="1"/>
        </w:rPr>
        <w:t>Audit is performed in line with NICE CG 174. Audit is due again late 2022.</w:t>
      </w:r>
    </w:p>
    <w:p w14:paraId="0165D10E" w14:textId="77777777" w:rsidR="00330D0D" w:rsidRPr="00330D0D" w:rsidRDefault="00330D0D" w:rsidP="00330D0D">
      <w:pPr>
        <w:shd w:val="clear" w:color="auto" w:fill="FFFFFF"/>
        <w:spacing w:after="0" w:line="240" w:lineRule="auto"/>
        <w:ind w:left="720"/>
        <w:rPr>
          <w:rFonts w:eastAsia="Times New Roman"/>
          <w:color w:val="auto"/>
        </w:rPr>
      </w:pPr>
      <w:r w:rsidRPr="00330D0D">
        <w:rPr>
          <w:rFonts w:eastAsia="Times New Roman"/>
          <w:color w:val="auto"/>
        </w:rPr>
        <w:t> </w:t>
      </w:r>
    </w:p>
    <w:p w14:paraId="03AD5909" w14:textId="77777777" w:rsidR="00330D0D" w:rsidRPr="00330D0D" w:rsidRDefault="00330D0D" w:rsidP="00330D0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/>
          <w:b/>
          <w:color w:val="auto"/>
        </w:rPr>
      </w:pPr>
      <w:r w:rsidRPr="00330D0D">
        <w:rPr>
          <w:rFonts w:eastAsia="Times New Roman"/>
          <w:b/>
          <w:color w:val="auto"/>
        </w:rPr>
        <w:t>Does your trust audit compliance with NICE Quality Standard 66 (Intravenous fluid therapy in adults in hospital)?  </w:t>
      </w:r>
      <w:r w:rsidRPr="00330D0D">
        <w:rPr>
          <w:rFonts w:eastAsia="Times New Roman"/>
          <w:b/>
          <w:color w:val="auto"/>
          <w:bdr w:val="none" w:sz="0" w:space="0" w:color="auto" w:frame="1"/>
        </w:rPr>
        <w:t> </w:t>
      </w:r>
    </w:p>
    <w:p w14:paraId="3A11B358" w14:textId="4E17D759" w:rsidR="00330D0D" w:rsidRPr="00330D0D" w:rsidRDefault="00330D0D" w:rsidP="00330D0D">
      <w:pPr>
        <w:shd w:val="clear" w:color="auto" w:fill="FFFFFF"/>
        <w:spacing w:after="0" w:line="240" w:lineRule="auto"/>
        <w:ind w:left="720"/>
        <w:rPr>
          <w:rFonts w:eastAsia="Times New Roman"/>
          <w:color w:val="auto"/>
        </w:rPr>
      </w:pPr>
      <w:r w:rsidRPr="00330D0D">
        <w:rPr>
          <w:rFonts w:eastAsia="Times New Roman"/>
          <w:color w:val="auto"/>
          <w:bdr w:val="none" w:sz="0" w:space="0" w:color="auto" w:frame="1"/>
        </w:rPr>
        <w:t>See above response.</w:t>
      </w:r>
    </w:p>
    <w:p w14:paraId="5E6757C7" w14:textId="758AB0F6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  <w:bookmarkStart w:id="0" w:name="_GoBack"/>
      <w:bookmarkEnd w:id="0"/>
    </w:p>
    <w:p w14:paraId="64B3D5BC" w14:textId="77777777" w:rsidR="00330D0D" w:rsidRPr="00921999" w:rsidRDefault="00330D0D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lastRenderedPageBreak/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16DB8"/>
    <w:multiLevelType w:val="multilevel"/>
    <w:tmpl w:val="0B864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8E2518"/>
    <w:multiLevelType w:val="multilevel"/>
    <w:tmpl w:val="7398F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771A6"/>
    <w:multiLevelType w:val="hybridMultilevel"/>
    <w:tmpl w:val="3CDE7D80"/>
    <w:lvl w:ilvl="0" w:tplc="01EE4B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37410"/>
    <w:multiLevelType w:val="multilevel"/>
    <w:tmpl w:val="9D7AD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17"/>
  </w:num>
  <w:num w:numId="15">
    <w:abstractNumId w:val="20"/>
  </w:num>
  <w:num w:numId="16">
    <w:abstractNumId w:val="19"/>
  </w:num>
  <w:num w:numId="17">
    <w:abstractNumId w:val="12"/>
  </w:num>
  <w:num w:numId="18">
    <w:abstractNumId w:val="0"/>
  </w:num>
  <w:num w:numId="19">
    <w:abstractNumId w:val="22"/>
  </w:num>
  <w:num w:numId="20">
    <w:abstractNumId w:val="11"/>
  </w:num>
  <w:num w:numId="21">
    <w:abstractNumId w:val="16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30D0D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420e9b2-38da-45c1-b83f-53d2eb972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1431F-A662-4315-8ED7-A2E23420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2022-10-28T15:29:00Z</dcterms:created>
  <dcterms:modified xsi:type="dcterms:W3CDTF">2022-10-28T15:29:00Z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