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7B2A2FE8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6741C4">
        <w:rPr>
          <w:noProof/>
          <w:color w:val="auto"/>
          <w:sz w:val="24"/>
          <w:szCs w:val="24"/>
        </w:rPr>
        <w:t>20/10/2022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70D2E49D" w14:textId="659958E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181E9548" w14:textId="1ABC7237" w:rsidR="006741C4" w:rsidRPr="006741C4" w:rsidRDefault="006741C4" w:rsidP="006741C4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 w:rsidRPr="006741C4">
        <w:rPr>
          <w:b/>
          <w:sz w:val="24"/>
          <w:szCs w:val="24"/>
        </w:rPr>
        <w:t xml:space="preserve">The number of MRI scans performed for the following, </w:t>
      </w:r>
    </w:p>
    <w:p w14:paraId="6851B09D" w14:textId="77777777" w:rsidR="006741C4" w:rsidRPr="006741C4" w:rsidRDefault="006741C4" w:rsidP="006741C4">
      <w:pPr>
        <w:spacing w:after="5" w:line="250" w:lineRule="auto"/>
        <w:ind w:left="380" w:right="25" w:hanging="10"/>
        <w:rPr>
          <w:sz w:val="24"/>
          <w:szCs w:val="24"/>
          <w:u w:val="single"/>
        </w:rPr>
      </w:pPr>
      <w:r w:rsidRPr="006741C4">
        <w:rPr>
          <w:sz w:val="24"/>
          <w:szCs w:val="24"/>
          <w:u w:val="single"/>
        </w:rPr>
        <w:t>Central Nervous System</w:t>
      </w:r>
    </w:p>
    <w:p w14:paraId="20F15F7D" w14:textId="79484E4C" w:rsidR="006741C4" w:rsidRPr="006741C4" w:rsidRDefault="006741C4" w:rsidP="006741C4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 w:rsidRPr="006741C4">
        <w:rPr>
          <w:sz w:val="24"/>
          <w:szCs w:val="24"/>
        </w:rPr>
        <w:t>Brain</w:t>
      </w:r>
      <w:r>
        <w:rPr>
          <w:sz w:val="24"/>
          <w:szCs w:val="24"/>
        </w:rPr>
        <w:t xml:space="preserve"> - </w:t>
      </w:r>
    </w:p>
    <w:p w14:paraId="66E8F9D4" w14:textId="5C1272E2" w:rsidR="006741C4" w:rsidRPr="006741C4" w:rsidRDefault="006741C4" w:rsidP="006741C4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 w:rsidRPr="006741C4">
        <w:rPr>
          <w:sz w:val="24"/>
          <w:szCs w:val="24"/>
        </w:rPr>
        <w:t>Spine</w:t>
      </w:r>
    </w:p>
    <w:p w14:paraId="12C5156E" w14:textId="2742D395" w:rsidR="006741C4" w:rsidRDefault="006741C4" w:rsidP="006741C4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 w:rsidRPr="006741C4">
        <w:rPr>
          <w:sz w:val="24"/>
          <w:szCs w:val="24"/>
        </w:rPr>
        <w:t>Other Surrounding Tissue</w:t>
      </w:r>
    </w:p>
    <w:p w14:paraId="49BBC130" w14:textId="77777777" w:rsidR="006741C4" w:rsidRPr="006741C4" w:rsidRDefault="006741C4" w:rsidP="006741C4">
      <w:pPr>
        <w:spacing w:after="5" w:line="250" w:lineRule="auto"/>
        <w:ind w:left="360" w:right="25"/>
        <w:rPr>
          <w:sz w:val="24"/>
          <w:szCs w:val="24"/>
          <w:u w:val="single"/>
        </w:rPr>
      </w:pPr>
    </w:p>
    <w:p w14:paraId="2DD3E784" w14:textId="5345B443" w:rsidR="006741C4" w:rsidRPr="006741C4" w:rsidRDefault="006741C4" w:rsidP="006741C4">
      <w:pPr>
        <w:spacing w:after="5" w:line="250" w:lineRule="auto"/>
        <w:ind w:left="10" w:right="25" w:firstLine="350"/>
        <w:rPr>
          <w:sz w:val="24"/>
          <w:szCs w:val="24"/>
          <w:u w:val="single"/>
        </w:rPr>
      </w:pPr>
      <w:r w:rsidRPr="006741C4">
        <w:rPr>
          <w:sz w:val="24"/>
          <w:szCs w:val="24"/>
          <w:u w:val="single"/>
        </w:rPr>
        <w:t>Whole Body</w:t>
      </w:r>
    </w:p>
    <w:p w14:paraId="35658287" w14:textId="3052BA5F" w:rsidR="006741C4" w:rsidRPr="006741C4" w:rsidRDefault="006741C4" w:rsidP="006741C4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 w:rsidRPr="006741C4">
        <w:rPr>
          <w:sz w:val="24"/>
          <w:szCs w:val="24"/>
        </w:rPr>
        <w:t>Head &amp; Neck</w:t>
      </w:r>
    </w:p>
    <w:p w14:paraId="124D4B24" w14:textId="2483F68E" w:rsidR="006741C4" w:rsidRPr="006741C4" w:rsidRDefault="006741C4" w:rsidP="006741C4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 w:rsidRPr="006741C4">
        <w:rPr>
          <w:sz w:val="24"/>
          <w:szCs w:val="24"/>
        </w:rPr>
        <w:t>Thorax, including Breast</w:t>
      </w:r>
    </w:p>
    <w:p w14:paraId="3A484C3E" w14:textId="1ACAA1D7" w:rsidR="006741C4" w:rsidRPr="006741C4" w:rsidRDefault="006741C4" w:rsidP="006741C4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 w:rsidRPr="006741C4">
        <w:rPr>
          <w:sz w:val="24"/>
          <w:szCs w:val="24"/>
        </w:rPr>
        <w:t>Abdomen, including Liver &amp; Kidneys</w:t>
      </w:r>
    </w:p>
    <w:p w14:paraId="02A1A7CA" w14:textId="717783A0" w:rsidR="006741C4" w:rsidRPr="006741C4" w:rsidRDefault="006741C4" w:rsidP="006741C4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 w:rsidRPr="006741C4">
        <w:rPr>
          <w:sz w:val="24"/>
          <w:szCs w:val="24"/>
        </w:rPr>
        <w:t>Pelvis, including Prostate</w:t>
      </w:r>
    </w:p>
    <w:p w14:paraId="0EAEABE1" w14:textId="03BB141D" w:rsidR="006741C4" w:rsidRPr="006741C4" w:rsidRDefault="006741C4" w:rsidP="006741C4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proofErr w:type="spellStart"/>
      <w:r w:rsidRPr="006741C4">
        <w:rPr>
          <w:sz w:val="24"/>
          <w:szCs w:val="24"/>
        </w:rPr>
        <w:t>Musculo</w:t>
      </w:r>
      <w:proofErr w:type="spellEnd"/>
      <w:r w:rsidRPr="006741C4">
        <w:rPr>
          <w:sz w:val="24"/>
          <w:szCs w:val="24"/>
        </w:rPr>
        <w:t>-skeletal system</w:t>
      </w:r>
    </w:p>
    <w:p w14:paraId="5E0492C2" w14:textId="40ED19B3" w:rsidR="006741C4" w:rsidRPr="006741C4" w:rsidRDefault="006741C4" w:rsidP="006741C4">
      <w:pPr>
        <w:pStyle w:val="ListParagraph"/>
        <w:numPr>
          <w:ilvl w:val="0"/>
          <w:numId w:val="20"/>
        </w:numPr>
        <w:spacing w:after="5" w:line="250" w:lineRule="auto"/>
        <w:ind w:right="25"/>
        <w:rPr>
          <w:sz w:val="24"/>
          <w:szCs w:val="24"/>
        </w:rPr>
      </w:pPr>
      <w:r w:rsidRPr="006741C4">
        <w:rPr>
          <w:sz w:val="24"/>
          <w:szCs w:val="24"/>
        </w:rPr>
        <w:t>Other</w:t>
      </w:r>
    </w:p>
    <w:p w14:paraId="707EF9E9" w14:textId="137F968E" w:rsidR="006741C4" w:rsidRPr="006741C4" w:rsidRDefault="006741C4" w:rsidP="006741C4">
      <w:pPr>
        <w:spacing w:after="5" w:line="250" w:lineRule="auto"/>
        <w:ind w:left="370" w:right="25" w:hanging="10"/>
        <w:rPr>
          <w:sz w:val="24"/>
          <w:szCs w:val="24"/>
          <w:u w:val="single"/>
        </w:rPr>
      </w:pPr>
      <w:r w:rsidRPr="006741C4">
        <w:rPr>
          <w:sz w:val="24"/>
          <w:szCs w:val="24"/>
          <w:u w:val="single"/>
        </w:rPr>
        <w:t>Cardiac</w:t>
      </w:r>
    </w:p>
    <w:p w14:paraId="0D747B71" w14:textId="22C3BB22" w:rsidR="006741C4" w:rsidRDefault="006741C4" w:rsidP="006741C4">
      <w:pPr>
        <w:spacing w:after="5" w:line="250" w:lineRule="auto"/>
        <w:ind w:left="370" w:right="25" w:hanging="10"/>
        <w:rPr>
          <w:sz w:val="24"/>
          <w:szCs w:val="24"/>
          <w:u w:val="single"/>
        </w:rPr>
      </w:pPr>
      <w:r w:rsidRPr="006741C4">
        <w:rPr>
          <w:sz w:val="24"/>
          <w:szCs w:val="24"/>
          <w:u w:val="single"/>
        </w:rPr>
        <w:t>Angiography</w:t>
      </w:r>
    </w:p>
    <w:p w14:paraId="49EECA56" w14:textId="77777777" w:rsidR="006741C4" w:rsidRDefault="006741C4" w:rsidP="006741C4">
      <w:pPr>
        <w:spacing w:after="5" w:line="250" w:lineRule="auto"/>
        <w:ind w:left="370" w:right="25" w:hanging="10"/>
        <w:rPr>
          <w:sz w:val="24"/>
          <w:szCs w:val="24"/>
          <w:u w:val="single"/>
        </w:rPr>
      </w:pPr>
    </w:p>
    <w:p w14:paraId="2E51E6DF" w14:textId="12C4F856" w:rsidR="006741C4" w:rsidRDefault="006741C4" w:rsidP="006741C4">
      <w:pPr>
        <w:spacing w:after="5" w:line="250" w:lineRule="auto"/>
        <w:ind w:left="370" w:right="25" w:hanging="10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977AAF9" wp14:editId="6EE6E0FB">
            <wp:extent cx="6071419" cy="9906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6299" cy="99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E6D5" w14:textId="77777777" w:rsidR="006741C4" w:rsidRPr="006741C4" w:rsidRDefault="006741C4" w:rsidP="006741C4">
      <w:pPr>
        <w:spacing w:after="5" w:line="250" w:lineRule="auto"/>
        <w:ind w:left="10" w:right="25" w:hanging="10"/>
        <w:rPr>
          <w:b/>
          <w:sz w:val="24"/>
          <w:szCs w:val="24"/>
        </w:rPr>
      </w:pPr>
    </w:p>
    <w:p w14:paraId="282F1CA8" w14:textId="65F0B3D1" w:rsidR="006741C4" w:rsidRDefault="006741C4" w:rsidP="006741C4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 w:rsidRPr="006741C4">
        <w:rPr>
          <w:b/>
          <w:sz w:val="24"/>
          <w:szCs w:val="24"/>
        </w:rPr>
        <w:t>The number of MRI scans for the above listed investigati</w:t>
      </w:r>
      <w:bookmarkStart w:id="0" w:name="_GoBack"/>
      <w:bookmarkEnd w:id="0"/>
      <w:r w:rsidRPr="006741C4">
        <w:rPr>
          <w:b/>
          <w:sz w:val="24"/>
          <w:szCs w:val="24"/>
        </w:rPr>
        <w:t>ons using a macrocyclic</w:t>
      </w:r>
      <w:r w:rsidRPr="006741C4">
        <w:rPr>
          <w:b/>
          <w:sz w:val="24"/>
          <w:szCs w:val="24"/>
        </w:rPr>
        <w:t xml:space="preserve"> </w:t>
      </w:r>
      <w:r w:rsidRPr="006741C4">
        <w:rPr>
          <w:b/>
          <w:sz w:val="24"/>
          <w:szCs w:val="24"/>
        </w:rPr>
        <w:t>gadolinium contrast agent(s)</w:t>
      </w:r>
    </w:p>
    <w:p w14:paraId="5E2F3CA7" w14:textId="1F8A5B71" w:rsidR="006741C4" w:rsidRPr="006741C4" w:rsidRDefault="006741C4" w:rsidP="006741C4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6741C4">
        <w:rPr>
          <w:sz w:val="24"/>
          <w:szCs w:val="24"/>
        </w:rPr>
        <w:t>Please see response for Q1.</w:t>
      </w:r>
    </w:p>
    <w:p w14:paraId="106B9216" w14:textId="77777777" w:rsidR="006741C4" w:rsidRPr="006741C4" w:rsidRDefault="006741C4" w:rsidP="006741C4">
      <w:pPr>
        <w:spacing w:after="5" w:line="250" w:lineRule="auto"/>
        <w:ind w:right="25"/>
        <w:rPr>
          <w:sz w:val="24"/>
          <w:szCs w:val="24"/>
        </w:rPr>
      </w:pPr>
    </w:p>
    <w:p w14:paraId="0F5DF75E" w14:textId="17C7E37F" w:rsidR="006741C4" w:rsidRPr="006741C4" w:rsidRDefault="006741C4" w:rsidP="006741C4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 w:rsidRPr="006741C4">
        <w:rPr>
          <w:b/>
          <w:sz w:val="24"/>
          <w:szCs w:val="24"/>
        </w:rPr>
        <w:t xml:space="preserve">The average number of doses of a macrocyclic gadolinium contrast agent(s) per </w:t>
      </w:r>
      <w:r w:rsidRPr="006741C4">
        <w:rPr>
          <w:b/>
          <w:sz w:val="24"/>
          <w:szCs w:val="24"/>
        </w:rPr>
        <w:t>s</w:t>
      </w:r>
      <w:r w:rsidRPr="006741C4">
        <w:rPr>
          <w:b/>
          <w:sz w:val="24"/>
          <w:szCs w:val="24"/>
        </w:rPr>
        <w:t>can</w:t>
      </w:r>
    </w:p>
    <w:p w14:paraId="55A265A6" w14:textId="1435DF94" w:rsidR="006741C4" w:rsidRDefault="006741C4" w:rsidP="006741C4">
      <w:pPr>
        <w:spacing w:after="5" w:line="250" w:lineRule="auto"/>
        <w:ind w:left="320" w:right="25" w:firstLine="50"/>
        <w:rPr>
          <w:sz w:val="24"/>
          <w:szCs w:val="24"/>
        </w:rPr>
      </w:pPr>
      <w:r w:rsidRPr="006741C4">
        <w:rPr>
          <w:sz w:val="24"/>
          <w:szCs w:val="24"/>
        </w:rPr>
        <w:t>All examinations with Gadolinium contrast are single dose techniques.</w:t>
      </w:r>
    </w:p>
    <w:p w14:paraId="46E4437C" w14:textId="77777777" w:rsidR="006741C4" w:rsidRPr="006741C4" w:rsidRDefault="006741C4" w:rsidP="006741C4">
      <w:pPr>
        <w:spacing w:after="5" w:line="250" w:lineRule="auto"/>
        <w:ind w:left="320" w:right="25" w:firstLine="50"/>
        <w:rPr>
          <w:sz w:val="24"/>
          <w:szCs w:val="24"/>
        </w:rPr>
      </w:pPr>
    </w:p>
    <w:p w14:paraId="46F4E8D7" w14:textId="5A09F48C" w:rsidR="008C4186" w:rsidRDefault="006741C4" w:rsidP="006741C4">
      <w:pPr>
        <w:pStyle w:val="ListParagraph"/>
        <w:numPr>
          <w:ilvl w:val="0"/>
          <w:numId w:val="18"/>
        </w:numPr>
        <w:spacing w:after="5" w:line="250" w:lineRule="auto"/>
        <w:ind w:right="25"/>
        <w:rPr>
          <w:b/>
          <w:sz w:val="24"/>
          <w:szCs w:val="24"/>
        </w:rPr>
      </w:pPr>
      <w:r w:rsidRPr="006741C4">
        <w:rPr>
          <w:b/>
          <w:sz w:val="24"/>
          <w:szCs w:val="24"/>
        </w:rPr>
        <w:t>The number of rescans, which are performed due to the outcome of a poor quality image when using a macrocyclic gadolinium contrast agent in the initial scan.</w:t>
      </w:r>
    </w:p>
    <w:p w14:paraId="4AF788A8" w14:textId="0CF9C3F9" w:rsidR="006741C4" w:rsidRPr="006741C4" w:rsidRDefault="006741C4" w:rsidP="006741C4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6741C4">
        <w:rPr>
          <w:sz w:val="24"/>
          <w:szCs w:val="24"/>
        </w:rPr>
        <w:t>This data is not held.</w:t>
      </w: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3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4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5"/>
      <w:footerReference w:type="default" r:id="rId16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92B68"/>
    <w:multiLevelType w:val="hybridMultilevel"/>
    <w:tmpl w:val="E7F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FC6"/>
    <w:multiLevelType w:val="hybridMultilevel"/>
    <w:tmpl w:val="017E8108"/>
    <w:lvl w:ilvl="0" w:tplc="EA5A258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07B10"/>
    <w:multiLevelType w:val="hybridMultilevel"/>
    <w:tmpl w:val="DEA03486"/>
    <w:lvl w:ilvl="0" w:tplc="EA5A258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B3921"/>
    <w:multiLevelType w:val="hybridMultilevel"/>
    <w:tmpl w:val="83502F5E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A9748E"/>
    <w:multiLevelType w:val="hybridMultilevel"/>
    <w:tmpl w:val="6A129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83A3D"/>
    <w:multiLevelType w:val="hybridMultilevel"/>
    <w:tmpl w:val="08E22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16"/>
  </w:num>
  <w:num w:numId="15">
    <w:abstractNumId w:val="19"/>
  </w:num>
  <w:num w:numId="16">
    <w:abstractNumId w:val="18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1C4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Id18" Type="http://schemas.openxmlformats.org/officeDocument/2006/relationships/theme" Target="theme/theme1.xm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420e9b2-38da-45c1-b83f-53d2eb97209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01EE0-620D-4B34-A90D-51A694EA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2022-10-20T15:36:00Z</dcterms:created>
  <dcterms:modified xsi:type="dcterms:W3CDTF">2022-10-20T15:36:00Z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