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2D0B4FD3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E765D5">
        <w:rPr>
          <w:noProof/>
          <w:color w:val="auto"/>
          <w:sz w:val="24"/>
          <w:szCs w:val="24"/>
        </w:rPr>
        <w:t>22/09/2022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6BD5855E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796A493A" w14:textId="7D882D6D" w:rsidR="00E765D5" w:rsidRDefault="00E765D5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0643A569" w14:textId="0DD4FC9B" w:rsidR="00E765D5" w:rsidRPr="00E765D5" w:rsidRDefault="00E765D5" w:rsidP="00E765D5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b/>
          <w:sz w:val="24"/>
          <w:szCs w:val="24"/>
        </w:rPr>
      </w:pPr>
      <w:r w:rsidRPr="00E765D5">
        <w:rPr>
          <w:b/>
          <w:sz w:val="24"/>
          <w:szCs w:val="24"/>
        </w:rPr>
        <w:t xml:space="preserve">What were your organisational compliance rates for statutory and mandatory training (separately) in the following years: 2018,2019,2020,2021 and year to </w:t>
      </w:r>
      <w:proofErr w:type="gramStart"/>
      <w:r w:rsidRPr="00E765D5">
        <w:rPr>
          <w:b/>
          <w:sz w:val="24"/>
          <w:szCs w:val="24"/>
        </w:rPr>
        <w:t>date.</w:t>
      </w:r>
      <w:proofErr w:type="gramEnd"/>
    </w:p>
    <w:p w14:paraId="6C2D70F4" w14:textId="77777777" w:rsidR="00E765D5" w:rsidRPr="00E765D5" w:rsidRDefault="00E765D5" w:rsidP="00E765D5">
      <w:pPr>
        <w:spacing w:after="5" w:line="250" w:lineRule="auto"/>
        <w:ind w:left="10" w:right="25" w:hanging="10"/>
        <w:rPr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20"/>
        <w:gridCol w:w="2254"/>
        <w:gridCol w:w="2254"/>
        <w:gridCol w:w="2254"/>
      </w:tblGrid>
      <w:tr w:rsidR="00E765D5" w:rsidRPr="00E765D5" w14:paraId="46A3B7C8" w14:textId="77777777" w:rsidTr="00E765D5">
        <w:tc>
          <w:tcPr>
            <w:tcW w:w="3974" w:type="dxa"/>
            <w:gridSpan w:val="2"/>
          </w:tcPr>
          <w:p w14:paraId="4D0815ED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Bedford Site</w:t>
            </w:r>
          </w:p>
        </w:tc>
        <w:tc>
          <w:tcPr>
            <w:tcW w:w="4508" w:type="dxa"/>
            <w:gridSpan w:val="2"/>
          </w:tcPr>
          <w:p w14:paraId="4A3DF9C4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Luton Site</w:t>
            </w:r>
          </w:p>
        </w:tc>
      </w:tr>
      <w:tr w:rsidR="00E765D5" w:rsidRPr="00E765D5" w14:paraId="511C2306" w14:textId="77777777" w:rsidTr="00E765D5">
        <w:tc>
          <w:tcPr>
            <w:tcW w:w="1720" w:type="dxa"/>
          </w:tcPr>
          <w:p w14:paraId="11CE5CDC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b/>
                <w:sz w:val="24"/>
                <w:szCs w:val="24"/>
              </w:rPr>
            </w:pPr>
            <w:r w:rsidRPr="00E765D5">
              <w:rPr>
                <w:b/>
                <w:sz w:val="24"/>
                <w:szCs w:val="24"/>
              </w:rPr>
              <w:t>Calendar Year End</w:t>
            </w:r>
          </w:p>
        </w:tc>
        <w:tc>
          <w:tcPr>
            <w:tcW w:w="2254" w:type="dxa"/>
          </w:tcPr>
          <w:p w14:paraId="34CD184C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b/>
                <w:sz w:val="24"/>
                <w:szCs w:val="24"/>
              </w:rPr>
            </w:pPr>
            <w:r w:rsidRPr="00E765D5">
              <w:rPr>
                <w:b/>
                <w:sz w:val="24"/>
                <w:szCs w:val="24"/>
              </w:rPr>
              <w:t>% Compliance</w:t>
            </w:r>
          </w:p>
        </w:tc>
        <w:tc>
          <w:tcPr>
            <w:tcW w:w="2254" w:type="dxa"/>
          </w:tcPr>
          <w:p w14:paraId="3B29F42D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b/>
                <w:sz w:val="24"/>
                <w:szCs w:val="24"/>
              </w:rPr>
            </w:pPr>
            <w:r w:rsidRPr="00E765D5">
              <w:rPr>
                <w:b/>
                <w:sz w:val="24"/>
                <w:szCs w:val="24"/>
              </w:rPr>
              <w:t>Calendar Year End</w:t>
            </w:r>
          </w:p>
        </w:tc>
        <w:tc>
          <w:tcPr>
            <w:tcW w:w="2254" w:type="dxa"/>
          </w:tcPr>
          <w:p w14:paraId="538930A6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b/>
                <w:sz w:val="24"/>
                <w:szCs w:val="24"/>
              </w:rPr>
            </w:pPr>
            <w:r w:rsidRPr="00E765D5">
              <w:rPr>
                <w:b/>
                <w:sz w:val="24"/>
                <w:szCs w:val="24"/>
              </w:rPr>
              <w:t>% Compliance</w:t>
            </w:r>
          </w:p>
        </w:tc>
      </w:tr>
      <w:tr w:rsidR="00E765D5" w:rsidRPr="00E765D5" w14:paraId="4F955125" w14:textId="77777777" w:rsidTr="00E765D5">
        <w:tc>
          <w:tcPr>
            <w:tcW w:w="1720" w:type="dxa"/>
          </w:tcPr>
          <w:p w14:paraId="3F788B66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December 2018</w:t>
            </w:r>
          </w:p>
        </w:tc>
        <w:tc>
          <w:tcPr>
            <w:tcW w:w="2254" w:type="dxa"/>
          </w:tcPr>
          <w:p w14:paraId="0E88A951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85.33%</w:t>
            </w:r>
          </w:p>
        </w:tc>
        <w:tc>
          <w:tcPr>
            <w:tcW w:w="2254" w:type="dxa"/>
          </w:tcPr>
          <w:p w14:paraId="2BD43310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December 2018</w:t>
            </w:r>
          </w:p>
        </w:tc>
        <w:tc>
          <w:tcPr>
            <w:tcW w:w="2254" w:type="dxa"/>
          </w:tcPr>
          <w:p w14:paraId="06B7ADDB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84.5%</w:t>
            </w:r>
          </w:p>
        </w:tc>
      </w:tr>
      <w:tr w:rsidR="00E765D5" w:rsidRPr="00E765D5" w14:paraId="4A1BAB6E" w14:textId="77777777" w:rsidTr="00E765D5">
        <w:tc>
          <w:tcPr>
            <w:tcW w:w="1720" w:type="dxa"/>
          </w:tcPr>
          <w:p w14:paraId="2E56E730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December 2019</w:t>
            </w:r>
          </w:p>
        </w:tc>
        <w:tc>
          <w:tcPr>
            <w:tcW w:w="2254" w:type="dxa"/>
          </w:tcPr>
          <w:p w14:paraId="56EFE1BF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87.96%</w:t>
            </w:r>
          </w:p>
        </w:tc>
        <w:tc>
          <w:tcPr>
            <w:tcW w:w="2254" w:type="dxa"/>
          </w:tcPr>
          <w:p w14:paraId="4BB436E6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December 2019</w:t>
            </w:r>
          </w:p>
        </w:tc>
        <w:tc>
          <w:tcPr>
            <w:tcW w:w="2254" w:type="dxa"/>
          </w:tcPr>
          <w:p w14:paraId="5BAAFF94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84.3%</w:t>
            </w:r>
          </w:p>
        </w:tc>
      </w:tr>
      <w:tr w:rsidR="00E765D5" w:rsidRPr="00E765D5" w14:paraId="3701A8DC" w14:textId="77777777" w:rsidTr="00E765D5">
        <w:tc>
          <w:tcPr>
            <w:tcW w:w="1720" w:type="dxa"/>
          </w:tcPr>
          <w:p w14:paraId="228C6C8F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December 2020</w:t>
            </w:r>
          </w:p>
        </w:tc>
        <w:tc>
          <w:tcPr>
            <w:tcW w:w="2254" w:type="dxa"/>
          </w:tcPr>
          <w:p w14:paraId="002D7C60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81.51%</w:t>
            </w:r>
          </w:p>
        </w:tc>
        <w:tc>
          <w:tcPr>
            <w:tcW w:w="2254" w:type="dxa"/>
          </w:tcPr>
          <w:p w14:paraId="6C091ADB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December 2020</w:t>
            </w:r>
          </w:p>
        </w:tc>
        <w:tc>
          <w:tcPr>
            <w:tcW w:w="2254" w:type="dxa"/>
          </w:tcPr>
          <w:p w14:paraId="3458354D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75%</w:t>
            </w:r>
          </w:p>
        </w:tc>
      </w:tr>
      <w:tr w:rsidR="00E765D5" w:rsidRPr="00E765D5" w14:paraId="06D6DA49" w14:textId="77777777" w:rsidTr="00E765D5">
        <w:tc>
          <w:tcPr>
            <w:tcW w:w="8482" w:type="dxa"/>
            <w:gridSpan w:val="4"/>
          </w:tcPr>
          <w:p w14:paraId="55B7CA40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Bedfordshire Hospitals</w:t>
            </w:r>
          </w:p>
        </w:tc>
      </w:tr>
      <w:tr w:rsidR="00E765D5" w:rsidRPr="00E765D5" w14:paraId="19DC6698" w14:textId="77777777" w:rsidTr="00E765D5">
        <w:trPr>
          <w:trHeight w:val="135"/>
        </w:trPr>
        <w:tc>
          <w:tcPr>
            <w:tcW w:w="3974" w:type="dxa"/>
            <w:gridSpan w:val="2"/>
          </w:tcPr>
          <w:p w14:paraId="7B80DE9C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December 2021</w:t>
            </w:r>
          </w:p>
        </w:tc>
        <w:tc>
          <w:tcPr>
            <w:tcW w:w="4508" w:type="dxa"/>
            <w:gridSpan w:val="2"/>
          </w:tcPr>
          <w:p w14:paraId="19E8FA70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77%</w:t>
            </w:r>
          </w:p>
        </w:tc>
      </w:tr>
      <w:tr w:rsidR="00E765D5" w:rsidRPr="00E765D5" w14:paraId="0C57B487" w14:textId="77777777" w:rsidTr="00E765D5">
        <w:trPr>
          <w:trHeight w:val="135"/>
        </w:trPr>
        <w:tc>
          <w:tcPr>
            <w:tcW w:w="3974" w:type="dxa"/>
            <w:gridSpan w:val="2"/>
          </w:tcPr>
          <w:p w14:paraId="375888C5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August 2022</w:t>
            </w:r>
          </w:p>
        </w:tc>
        <w:tc>
          <w:tcPr>
            <w:tcW w:w="4508" w:type="dxa"/>
            <w:gridSpan w:val="2"/>
          </w:tcPr>
          <w:p w14:paraId="5A83C635" w14:textId="77777777" w:rsidR="00E765D5" w:rsidRPr="00E765D5" w:rsidRDefault="00E765D5" w:rsidP="00E765D5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E765D5">
              <w:rPr>
                <w:sz w:val="24"/>
                <w:szCs w:val="24"/>
              </w:rPr>
              <w:t>81.57%</w:t>
            </w:r>
          </w:p>
        </w:tc>
      </w:tr>
    </w:tbl>
    <w:p w14:paraId="6DC7B151" w14:textId="77777777" w:rsidR="00E765D5" w:rsidRPr="00E765D5" w:rsidRDefault="00E765D5" w:rsidP="00E765D5">
      <w:pPr>
        <w:spacing w:after="5" w:line="250" w:lineRule="auto"/>
        <w:ind w:left="10" w:right="25" w:hanging="10"/>
        <w:rPr>
          <w:sz w:val="24"/>
          <w:szCs w:val="24"/>
        </w:rPr>
      </w:pPr>
    </w:p>
    <w:p w14:paraId="20EA74AD" w14:textId="7D012665" w:rsidR="00E765D5" w:rsidRPr="00E765D5" w:rsidRDefault="00E765D5" w:rsidP="00E765D5">
      <w:pPr>
        <w:spacing w:after="5" w:line="250" w:lineRule="auto"/>
        <w:ind w:right="25"/>
        <w:rPr>
          <w:sz w:val="24"/>
          <w:szCs w:val="24"/>
        </w:rPr>
      </w:pPr>
    </w:p>
    <w:p w14:paraId="5D8ADB40" w14:textId="77777777" w:rsidR="00E765D5" w:rsidRPr="00E765D5" w:rsidRDefault="00E765D5" w:rsidP="00E765D5">
      <w:pPr>
        <w:spacing w:after="5" w:line="250" w:lineRule="auto"/>
        <w:ind w:left="10" w:right="25" w:hanging="10"/>
        <w:rPr>
          <w:sz w:val="24"/>
          <w:szCs w:val="24"/>
        </w:rPr>
      </w:pPr>
    </w:p>
    <w:p w14:paraId="330A0E40" w14:textId="3B5972CD" w:rsidR="00E765D5" w:rsidRPr="00E765D5" w:rsidRDefault="00E765D5" w:rsidP="00E765D5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b/>
          <w:sz w:val="24"/>
          <w:szCs w:val="24"/>
        </w:rPr>
      </w:pPr>
      <w:r w:rsidRPr="00E765D5">
        <w:rPr>
          <w:b/>
          <w:sz w:val="24"/>
          <w:szCs w:val="24"/>
        </w:rPr>
        <w:t>What was your organisational spend on e-learning in the following years:</w:t>
      </w:r>
    </w:p>
    <w:p w14:paraId="23D18B96" w14:textId="77777777" w:rsidR="00E765D5" w:rsidRPr="00E765D5" w:rsidRDefault="00E765D5" w:rsidP="00E765D5">
      <w:pPr>
        <w:spacing w:after="5" w:line="250" w:lineRule="auto"/>
        <w:ind w:left="10" w:right="25" w:hanging="10"/>
        <w:rPr>
          <w:sz w:val="24"/>
          <w:szCs w:val="24"/>
        </w:rPr>
      </w:pPr>
    </w:p>
    <w:p w14:paraId="38E4C745" w14:textId="77777777" w:rsidR="00E765D5" w:rsidRPr="00E765D5" w:rsidRDefault="00E765D5" w:rsidP="00E765D5">
      <w:pPr>
        <w:spacing w:after="5" w:line="250" w:lineRule="auto"/>
        <w:ind w:left="380" w:right="25" w:hanging="10"/>
        <w:rPr>
          <w:b/>
          <w:sz w:val="24"/>
          <w:szCs w:val="24"/>
        </w:rPr>
      </w:pPr>
      <w:r w:rsidRPr="00E765D5">
        <w:rPr>
          <w:b/>
          <w:sz w:val="24"/>
          <w:szCs w:val="24"/>
        </w:rPr>
        <w:t>2018,2019,2020,2021 and year to date.</w:t>
      </w:r>
    </w:p>
    <w:p w14:paraId="4FD0539D" w14:textId="0D6E4159" w:rsidR="00E765D5" w:rsidRPr="00E765D5" w:rsidRDefault="00E765D5" w:rsidP="00E765D5">
      <w:pPr>
        <w:spacing w:after="5" w:line="250" w:lineRule="auto"/>
        <w:ind w:right="25"/>
        <w:rPr>
          <w:sz w:val="24"/>
          <w:szCs w:val="24"/>
        </w:rPr>
      </w:pPr>
    </w:p>
    <w:p w14:paraId="062497C3" w14:textId="77777777" w:rsidR="00E765D5" w:rsidRPr="00E765D5" w:rsidRDefault="00E765D5" w:rsidP="00E765D5">
      <w:pPr>
        <w:spacing w:after="5" w:line="250" w:lineRule="auto"/>
        <w:ind w:left="360" w:right="25" w:hanging="10"/>
        <w:rPr>
          <w:sz w:val="24"/>
          <w:szCs w:val="24"/>
        </w:rPr>
      </w:pPr>
      <w:r w:rsidRPr="00E765D5">
        <w:rPr>
          <w:sz w:val="24"/>
          <w:szCs w:val="24"/>
        </w:rPr>
        <w:t>2018-2020 – Used National e-learning and local packages for statutory and mandatory training</w:t>
      </w:r>
    </w:p>
    <w:p w14:paraId="44DED2A1" w14:textId="77777777" w:rsidR="00E765D5" w:rsidRPr="00E765D5" w:rsidRDefault="00E765D5" w:rsidP="00E765D5">
      <w:pPr>
        <w:spacing w:after="5" w:line="250" w:lineRule="auto"/>
        <w:ind w:left="360" w:right="25" w:hanging="10"/>
        <w:rPr>
          <w:sz w:val="24"/>
          <w:szCs w:val="24"/>
        </w:rPr>
      </w:pPr>
    </w:p>
    <w:p w14:paraId="33434C92" w14:textId="77777777" w:rsidR="00E765D5" w:rsidRPr="00E765D5" w:rsidRDefault="00E765D5" w:rsidP="00E765D5">
      <w:pPr>
        <w:spacing w:after="5" w:line="250" w:lineRule="auto"/>
        <w:ind w:left="360" w:right="25" w:hanging="10"/>
        <w:rPr>
          <w:sz w:val="24"/>
          <w:szCs w:val="24"/>
        </w:rPr>
      </w:pPr>
      <w:r w:rsidRPr="00E765D5">
        <w:rPr>
          <w:sz w:val="24"/>
          <w:szCs w:val="24"/>
        </w:rPr>
        <w:t>2020/2021 - £59,600</w:t>
      </w:r>
    </w:p>
    <w:p w14:paraId="37DD4DF6" w14:textId="77777777" w:rsidR="00E765D5" w:rsidRPr="00E765D5" w:rsidRDefault="00E765D5" w:rsidP="00E765D5">
      <w:pPr>
        <w:spacing w:after="5" w:line="250" w:lineRule="auto"/>
        <w:ind w:left="360" w:right="25" w:hanging="10"/>
        <w:rPr>
          <w:sz w:val="24"/>
          <w:szCs w:val="24"/>
        </w:rPr>
      </w:pPr>
    </w:p>
    <w:p w14:paraId="4004B6CD" w14:textId="77777777" w:rsidR="00E765D5" w:rsidRPr="00E765D5" w:rsidRDefault="00E765D5" w:rsidP="00E765D5">
      <w:pPr>
        <w:spacing w:after="5" w:line="250" w:lineRule="auto"/>
        <w:ind w:left="360" w:right="25" w:hanging="10"/>
        <w:rPr>
          <w:sz w:val="24"/>
          <w:szCs w:val="24"/>
        </w:rPr>
      </w:pPr>
      <w:r w:rsidRPr="00E765D5">
        <w:rPr>
          <w:sz w:val="24"/>
          <w:szCs w:val="24"/>
        </w:rPr>
        <w:t>2021/2022 –£36,000</w:t>
      </w:r>
    </w:p>
    <w:p w14:paraId="0FE5A78C" w14:textId="59CDB472" w:rsidR="00E765D5" w:rsidRDefault="00E765D5" w:rsidP="00E765D5">
      <w:pPr>
        <w:spacing w:after="5" w:line="250" w:lineRule="auto"/>
        <w:ind w:left="10" w:right="25" w:hanging="10"/>
        <w:rPr>
          <w:sz w:val="24"/>
          <w:szCs w:val="24"/>
        </w:rPr>
      </w:pPr>
    </w:p>
    <w:p w14:paraId="43904D55" w14:textId="11F3A081" w:rsidR="00E765D5" w:rsidRDefault="00E765D5" w:rsidP="00E765D5">
      <w:pPr>
        <w:spacing w:after="5" w:line="250" w:lineRule="auto"/>
        <w:ind w:left="10" w:right="25" w:hanging="10"/>
        <w:rPr>
          <w:sz w:val="24"/>
          <w:szCs w:val="24"/>
        </w:rPr>
      </w:pPr>
    </w:p>
    <w:p w14:paraId="4A613A8C" w14:textId="77777777" w:rsidR="00E765D5" w:rsidRPr="00E765D5" w:rsidRDefault="00E765D5" w:rsidP="00E765D5">
      <w:pPr>
        <w:spacing w:after="5" w:line="250" w:lineRule="auto"/>
        <w:ind w:left="10" w:right="25" w:hanging="10"/>
        <w:rPr>
          <w:sz w:val="24"/>
          <w:szCs w:val="24"/>
        </w:rPr>
      </w:pPr>
    </w:p>
    <w:p w14:paraId="78596DDD" w14:textId="26BC1E93" w:rsidR="00E765D5" w:rsidRPr="00FA15DA" w:rsidRDefault="00E765D5" w:rsidP="00E765D5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b/>
          <w:sz w:val="24"/>
          <w:szCs w:val="24"/>
        </w:rPr>
      </w:pPr>
      <w:r w:rsidRPr="00FA15DA">
        <w:rPr>
          <w:b/>
          <w:sz w:val="24"/>
          <w:szCs w:val="24"/>
        </w:rPr>
        <w:t xml:space="preserve">What percentage of your statutory and mandatory training was delivered via e-learning in the following years: 2018,2019,2020,2021 and year to </w:t>
      </w:r>
      <w:proofErr w:type="gramStart"/>
      <w:r w:rsidRPr="00FA15DA">
        <w:rPr>
          <w:b/>
          <w:sz w:val="24"/>
          <w:szCs w:val="24"/>
        </w:rPr>
        <w:t>date.</w:t>
      </w:r>
      <w:proofErr w:type="gramEnd"/>
    </w:p>
    <w:p w14:paraId="19D8A67B" w14:textId="77777777" w:rsidR="00E765D5" w:rsidRPr="00E765D5" w:rsidRDefault="00E765D5" w:rsidP="00E765D5">
      <w:pPr>
        <w:spacing w:after="5" w:line="250" w:lineRule="auto"/>
        <w:ind w:left="10" w:right="25" w:hanging="10"/>
        <w:rPr>
          <w:sz w:val="24"/>
          <w:szCs w:val="24"/>
        </w:rPr>
      </w:pPr>
    </w:p>
    <w:p w14:paraId="521E5B03" w14:textId="5F4DC0C8" w:rsidR="00E765D5" w:rsidRPr="00E765D5" w:rsidRDefault="00E765D5" w:rsidP="00E765D5">
      <w:pPr>
        <w:spacing w:after="5" w:line="250" w:lineRule="auto"/>
        <w:ind w:left="10" w:right="25" w:firstLine="360"/>
        <w:rPr>
          <w:sz w:val="24"/>
          <w:szCs w:val="24"/>
        </w:rPr>
      </w:pPr>
      <w:r w:rsidRPr="00E765D5">
        <w:rPr>
          <w:sz w:val="24"/>
          <w:szCs w:val="24"/>
        </w:rPr>
        <w:t>Unab</w:t>
      </w:r>
      <w:r>
        <w:rPr>
          <w:sz w:val="24"/>
          <w:szCs w:val="24"/>
        </w:rPr>
        <w:t xml:space="preserve">le to </w:t>
      </w:r>
      <w:r w:rsidR="00FA15DA">
        <w:rPr>
          <w:sz w:val="24"/>
          <w:szCs w:val="24"/>
        </w:rPr>
        <w:t>breakdown whether it was e-learning or face to face training.</w:t>
      </w:r>
      <w:bookmarkStart w:id="0" w:name="_GoBack"/>
      <w:bookmarkEnd w:id="0"/>
    </w:p>
    <w:p w14:paraId="71966DFC" w14:textId="77777777" w:rsidR="00E765D5" w:rsidRPr="00E765D5" w:rsidRDefault="00E765D5" w:rsidP="00E765D5">
      <w:pPr>
        <w:spacing w:after="5" w:line="250" w:lineRule="auto"/>
        <w:ind w:left="10" w:right="25" w:hanging="10"/>
        <w:rPr>
          <w:sz w:val="24"/>
          <w:szCs w:val="24"/>
        </w:rPr>
      </w:pPr>
    </w:p>
    <w:p w14:paraId="33064BF7" w14:textId="18BB928C" w:rsidR="00E765D5" w:rsidRDefault="00E765D5" w:rsidP="00E765D5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b/>
          <w:sz w:val="24"/>
          <w:szCs w:val="24"/>
        </w:rPr>
      </w:pPr>
      <w:r w:rsidRPr="00E765D5">
        <w:rPr>
          <w:b/>
          <w:sz w:val="24"/>
          <w:szCs w:val="24"/>
        </w:rPr>
        <w:t xml:space="preserve">What was your organisational training budget for the following years: 2018,2019,2020,2021 and year to </w:t>
      </w:r>
      <w:proofErr w:type="gramStart"/>
      <w:r w:rsidRPr="00E765D5">
        <w:rPr>
          <w:b/>
          <w:sz w:val="24"/>
          <w:szCs w:val="24"/>
        </w:rPr>
        <w:t>date.</w:t>
      </w:r>
      <w:proofErr w:type="gramEnd"/>
    </w:p>
    <w:p w14:paraId="6EF1C106" w14:textId="068AA94E" w:rsidR="00FA15DA" w:rsidRDefault="00FA15DA" w:rsidP="00FA15DA">
      <w:pPr>
        <w:spacing w:after="5" w:line="250" w:lineRule="auto"/>
        <w:ind w:right="25"/>
        <w:rPr>
          <w:b/>
          <w:sz w:val="24"/>
          <w:szCs w:val="24"/>
        </w:rPr>
      </w:pPr>
    </w:p>
    <w:p w14:paraId="108DB75B" w14:textId="2CA67059" w:rsidR="00FA15DA" w:rsidRPr="00FA15DA" w:rsidRDefault="00FA15DA" w:rsidP="00FA15DA">
      <w:pPr>
        <w:spacing w:after="5" w:line="250" w:lineRule="auto"/>
        <w:ind w:right="25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926063" wp14:editId="116A608D">
            <wp:simplePos x="0" y="0"/>
            <wp:positionH relativeFrom="column">
              <wp:posOffset>226060</wp:posOffset>
            </wp:positionH>
            <wp:positionV relativeFrom="paragraph">
              <wp:posOffset>10160</wp:posOffset>
            </wp:positionV>
            <wp:extent cx="2705100" cy="1552575"/>
            <wp:effectExtent l="0" t="0" r="0" b="9525"/>
            <wp:wrapSquare wrapText="bothSides"/>
            <wp:docPr id="1" name="Picture 1" descr="cid:image011.png@01D8CCE9.A024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png@01D8CCE9.A02428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D2078" w14:textId="77777777" w:rsidR="00E765D5" w:rsidRPr="00E765D5" w:rsidRDefault="00E765D5" w:rsidP="00E765D5">
      <w:pPr>
        <w:spacing w:after="5" w:line="250" w:lineRule="auto"/>
        <w:ind w:left="10" w:right="25" w:hanging="10"/>
        <w:rPr>
          <w:sz w:val="24"/>
          <w:szCs w:val="24"/>
        </w:rPr>
      </w:pPr>
    </w:p>
    <w:p w14:paraId="510CEBAC" w14:textId="77777777" w:rsidR="00FA15DA" w:rsidRDefault="00FA15DA" w:rsidP="00E765D5">
      <w:pPr>
        <w:spacing w:after="5" w:line="250" w:lineRule="auto"/>
        <w:ind w:left="370" w:right="25"/>
        <w:rPr>
          <w:sz w:val="24"/>
          <w:szCs w:val="24"/>
        </w:rPr>
      </w:pPr>
    </w:p>
    <w:p w14:paraId="3828666F" w14:textId="77777777" w:rsidR="00FA15DA" w:rsidRDefault="00FA15DA" w:rsidP="00E765D5">
      <w:pPr>
        <w:spacing w:after="5" w:line="250" w:lineRule="auto"/>
        <w:ind w:left="370" w:right="25"/>
        <w:rPr>
          <w:sz w:val="24"/>
          <w:szCs w:val="24"/>
        </w:rPr>
      </w:pPr>
    </w:p>
    <w:p w14:paraId="58C18FBE" w14:textId="77777777" w:rsidR="00FA15DA" w:rsidRDefault="00FA15DA" w:rsidP="00E765D5">
      <w:pPr>
        <w:spacing w:after="5" w:line="250" w:lineRule="auto"/>
        <w:ind w:left="370" w:right="25"/>
        <w:rPr>
          <w:sz w:val="24"/>
          <w:szCs w:val="24"/>
        </w:rPr>
      </w:pPr>
    </w:p>
    <w:p w14:paraId="62A40F86" w14:textId="77777777" w:rsidR="00FA15DA" w:rsidRDefault="00FA15DA" w:rsidP="00E765D5">
      <w:pPr>
        <w:spacing w:after="5" w:line="250" w:lineRule="auto"/>
        <w:ind w:left="370" w:right="25"/>
        <w:rPr>
          <w:sz w:val="24"/>
          <w:szCs w:val="24"/>
        </w:rPr>
      </w:pPr>
    </w:p>
    <w:p w14:paraId="1E5C0553" w14:textId="77777777" w:rsidR="00FA15DA" w:rsidRDefault="00FA15DA" w:rsidP="00E765D5">
      <w:pPr>
        <w:spacing w:after="5" w:line="250" w:lineRule="auto"/>
        <w:ind w:left="370" w:right="25"/>
        <w:rPr>
          <w:sz w:val="24"/>
          <w:szCs w:val="24"/>
        </w:rPr>
      </w:pPr>
    </w:p>
    <w:p w14:paraId="314F604E" w14:textId="77777777" w:rsidR="00FA15DA" w:rsidRDefault="00FA15DA" w:rsidP="00E765D5">
      <w:pPr>
        <w:spacing w:after="5" w:line="250" w:lineRule="auto"/>
        <w:ind w:left="370" w:right="25"/>
        <w:rPr>
          <w:sz w:val="24"/>
          <w:szCs w:val="24"/>
        </w:rPr>
      </w:pPr>
    </w:p>
    <w:p w14:paraId="07B7BD04" w14:textId="77777777" w:rsidR="00FA15DA" w:rsidRDefault="00FA15DA" w:rsidP="00E765D5">
      <w:pPr>
        <w:spacing w:after="5" w:line="250" w:lineRule="auto"/>
        <w:ind w:left="370" w:right="25"/>
        <w:rPr>
          <w:sz w:val="24"/>
          <w:szCs w:val="24"/>
        </w:rPr>
      </w:pPr>
    </w:p>
    <w:p w14:paraId="06672500" w14:textId="21C8D53F" w:rsidR="00E765D5" w:rsidRPr="00E765D5" w:rsidRDefault="00E765D5" w:rsidP="00E765D5">
      <w:pPr>
        <w:spacing w:after="5" w:line="250" w:lineRule="auto"/>
        <w:ind w:left="370" w:right="25"/>
        <w:rPr>
          <w:sz w:val="24"/>
          <w:szCs w:val="24"/>
        </w:rPr>
      </w:pPr>
      <w:r w:rsidRPr="00E765D5">
        <w:rPr>
          <w:sz w:val="24"/>
          <w:szCs w:val="24"/>
        </w:rPr>
        <w:t xml:space="preserve">Note: This includes budget for overseas recruitment staff in relation to OSCE and IELTS and the CPD funding from Health Education England for </w:t>
      </w:r>
      <w:r w:rsidR="00FA15DA" w:rsidRPr="00E765D5">
        <w:rPr>
          <w:sz w:val="24"/>
          <w:szCs w:val="24"/>
        </w:rPr>
        <w:t>non-medical</w:t>
      </w:r>
      <w:r w:rsidRPr="00E765D5">
        <w:rPr>
          <w:sz w:val="24"/>
          <w:szCs w:val="24"/>
        </w:rPr>
        <w:t xml:space="preserve"> staff training where appropriate.</w:t>
      </w:r>
    </w:p>
    <w:p w14:paraId="3E031F15" w14:textId="77777777" w:rsidR="00E765D5" w:rsidRPr="00E765D5" w:rsidRDefault="00E765D5" w:rsidP="00E765D5">
      <w:pPr>
        <w:spacing w:after="5" w:line="250" w:lineRule="auto"/>
        <w:ind w:left="10" w:right="25" w:hanging="10"/>
        <w:rPr>
          <w:sz w:val="24"/>
          <w:szCs w:val="24"/>
        </w:rPr>
      </w:pPr>
    </w:p>
    <w:p w14:paraId="18CC374E" w14:textId="74EF159D" w:rsidR="00E765D5" w:rsidRPr="00E765D5" w:rsidRDefault="00E765D5" w:rsidP="00E765D5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b/>
          <w:sz w:val="24"/>
          <w:szCs w:val="24"/>
        </w:rPr>
      </w:pPr>
      <w:r w:rsidRPr="00E765D5">
        <w:rPr>
          <w:b/>
          <w:sz w:val="24"/>
          <w:szCs w:val="24"/>
        </w:rPr>
        <w:t xml:space="preserve">Who are your suppliers of e-learning </w:t>
      </w:r>
      <w:r w:rsidR="00FA15DA" w:rsidRPr="00E765D5">
        <w:rPr>
          <w:b/>
          <w:sz w:val="24"/>
          <w:szCs w:val="24"/>
        </w:rPr>
        <w:t>training?</w:t>
      </w:r>
    </w:p>
    <w:p w14:paraId="6D727A88" w14:textId="77777777" w:rsidR="00E765D5" w:rsidRPr="00E765D5" w:rsidRDefault="00E765D5" w:rsidP="00E765D5">
      <w:pPr>
        <w:spacing w:after="5" w:line="250" w:lineRule="auto"/>
        <w:ind w:left="10" w:right="25" w:hanging="10"/>
        <w:rPr>
          <w:sz w:val="24"/>
          <w:szCs w:val="24"/>
        </w:rPr>
      </w:pPr>
    </w:p>
    <w:p w14:paraId="639599BB" w14:textId="0927220C" w:rsidR="00E765D5" w:rsidRPr="00E765D5" w:rsidRDefault="00E765D5" w:rsidP="00E765D5">
      <w:pPr>
        <w:spacing w:after="5" w:line="250" w:lineRule="auto"/>
        <w:ind w:left="110" w:right="25" w:firstLine="260"/>
        <w:rPr>
          <w:sz w:val="24"/>
          <w:szCs w:val="24"/>
        </w:rPr>
      </w:pPr>
      <w:r w:rsidRPr="00E765D5">
        <w:rPr>
          <w:sz w:val="24"/>
          <w:szCs w:val="24"/>
        </w:rPr>
        <w:t>Skills Boost</w:t>
      </w:r>
      <w:r>
        <w:rPr>
          <w:sz w:val="24"/>
          <w:szCs w:val="24"/>
        </w:rPr>
        <w:t>ers</w:t>
      </w:r>
    </w:p>
    <w:p w14:paraId="5550AD0A" w14:textId="08389741" w:rsidR="00E765D5" w:rsidRPr="00E765D5" w:rsidRDefault="00E765D5" w:rsidP="00E765D5">
      <w:pPr>
        <w:spacing w:after="5" w:line="250" w:lineRule="auto"/>
        <w:ind w:left="110" w:right="25" w:firstLine="260"/>
        <w:rPr>
          <w:sz w:val="24"/>
          <w:szCs w:val="24"/>
        </w:rPr>
      </w:pPr>
      <w:r w:rsidRPr="00E765D5">
        <w:rPr>
          <w:sz w:val="24"/>
          <w:szCs w:val="24"/>
        </w:rPr>
        <w:t>Franklin covey</w:t>
      </w:r>
    </w:p>
    <w:p w14:paraId="2F17E394" w14:textId="2C067E9B" w:rsidR="00E765D5" w:rsidRPr="00E765D5" w:rsidRDefault="00E765D5" w:rsidP="00E765D5">
      <w:pPr>
        <w:spacing w:after="5" w:line="250" w:lineRule="auto"/>
        <w:ind w:left="110" w:right="25" w:firstLine="260"/>
        <w:rPr>
          <w:sz w:val="24"/>
          <w:szCs w:val="24"/>
        </w:rPr>
      </w:pPr>
      <w:r w:rsidRPr="00E765D5">
        <w:rPr>
          <w:sz w:val="24"/>
          <w:szCs w:val="24"/>
        </w:rPr>
        <w:t>Mind</w:t>
      </w:r>
    </w:p>
    <w:p w14:paraId="6C43BC6F" w14:textId="42827BE8" w:rsidR="00E765D5" w:rsidRDefault="00E765D5" w:rsidP="00E765D5">
      <w:pPr>
        <w:spacing w:after="5" w:line="250" w:lineRule="auto"/>
        <w:ind w:left="110" w:right="25" w:firstLine="260"/>
        <w:rPr>
          <w:sz w:val="24"/>
          <w:szCs w:val="24"/>
        </w:rPr>
      </w:pPr>
      <w:r w:rsidRPr="00E765D5">
        <w:rPr>
          <w:sz w:val="24"/>
          <w:szCs w:val="24"/>
        </w:rPr>
        <w:t>Skills for Health Ltd</w:t>
      </w: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4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5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lastRenderedPageBreak/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6"/>
      <w:footerReference w:type="default" r:id="rId17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65D66"/>
    <w:multiLevelType w:val="hybridMultilevel"/>
    <w:tmpl w:val="A3883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604CF6"/>
    <w:multiLevelType w:val="hybridMultilevel"/>
    <w:tmpl w:val="9BDA9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B6C51"/>
    <w:multiLevelType w:val="hybridMultilevel"/>
    <w:tmpl w:val="8716EF40"/>
    <w:lvl w:ilvl="0" w:tplc="08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34CB5"/>
    <w:multiLevelType w:val="hybridMultilevel"/>
    <w:tmpl w:val="27121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4"/>
  </w:num>
  <w:num w:numId="12">
    <w:abstractNumId w:val="0"/>
  </w:num>
  <w:num w:numId="13">
    <w:abstractNumId w:val="3"/>
  </w:num>
  <w:num w:numId="14">
    <w:abstractNumId w:val="15"/>
  </w:num>
  <w:num w:numId="15">
    <w:abstractNumId w:val="18"/>
  </w:num>
  <w:num w:numId="16">
    <w:abstractNumId w:val="17"/>
  </w:num>
  <w:num w:numId="17">
    <w:abstractNumId w:val="9"/>
  </w:num>
  <w:num w:numId="18">
    <w:abstractNumId w:val="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765D5"/>
    <w:rsid w:val="00EB5C70"/>
    <w:rsid w:val="00F25668"/>
    <w:rsid w:val="00F70E8F"/>
    <w:rsid w:val="00F92003"/>
    <w:rsid w:val="00FA15DA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11.png@01D8CCE9.A0242800" TargetMode="External"/><Relationship Id="rId18" Type="http://schemas.openxmlformats.org/officeDocument/2006/relationships/fontTable" Target="fontTable.xm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ico.org.uk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purl.org/dc/elements/1.1/"/>
    <ds:schemaRef ds:uri="http://purl.org/dc/dcmitype/"/>
    <ds:schemaRef ds:uri="http://schemas.microsoft.com/office/2006/documentManagement/types"/>
    <ds:schemaRef ds:uri="8420e9b2-38da-45c1-b83f-53d2eb972093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FC504-6696-4202-856E-3EDBB1FD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2022-09-22T12:57:00Z</dcterms:created>
  <dcterms:modified xsi:type="dcterms:W3CDTF">2022-09-22T12:57:00Z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