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02A60931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5F723E">
        <w:rPr>
          <w:noProof/>
          <w:color w:val="auto"/>
          <w:sz w:val="24"/>
          <w:szCs w:val="24"/>
        </w:rPr>
        <w:t>28/09/2022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61C380B4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42D72DA" w14:textId="7E9BD987" w:rsidR="005F723E" w:rsidRPr="005F723E" w:rsidRDefault="005F723E">
      <w:pPr>
        <w:spacing w:after="5" w:line="250" w:lineRule="auto"/>
        <w:ind w:left="-5" w:right="36" w:hanging="10"/>
        <w:rPr>
          <w:b/>
          <w:color w:val="212121"/>
          <w:sz w:val="24"/>
        </w:rPr>
      </w:pPr>
    </w:p>
    <w:p w14:paraId="3BF5030F" w14:textId="3AF7D4A0" w:rsidR="005F723E" w:rsidRPr="005F723E" w:rsidRDefault="005F723E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5F723E">
        <w:rPr>
          <w:b/>
          <w:color w:val="212121"/>
          <w:sz w:val="24"/>
        </w:rPr>
        <w:t>FOI 1652</w:t>
      </w:r>
    </w:p>
    <w:p w14:paraId="4DA7E298" w14:textId="4581C890" w:rsidR="00EB5C70" w:rsidRDefault="00EB5C70">
      <w:pPr>
        <w:spacing w:after="0"/>
      </w:pPr>
      <w:bookmarkStart w:id="0" w:name="_GoBack"/>
      <w:bookmarkEnd w:id="0"/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223E3647" w14:textId="7BE24EE4" w:rsidR="002814E3" w:rsidRDefault="00A66DA2" w:rsidP="00FD200E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0006BE5" w14:textId="22437DFA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tbl>
      <w:tblPr>
        <w:tblW w:w="9908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2193"/>
        <w:gridCol w:w="2925"/>
      </w:tblGrid>
      <w:tr w:rsidR="005F723E" w:rsidRPr="00037A92" w14:paraId="4A93A96D" w14:textId="77777777" w:rsidTr="005F723E">
        <w:trPr>
          <w:trHeight w:val="48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3CFE" w14:textId="77777777" w:rsidR="005F723E" w:rsidRPr="00037A92" w:rsidRDefault="005F723E" w:rsidP="00C95254">
            <w:pPr>
              <w:pStyle w:val="xmsonormal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229A2A" w14:textId="77777777" w:rsidR="005F723E" w:rsidRPr="00037A92" w:rsidRDefault="005F723E" w:rsidP="00C9525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A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Luton &amp; Dunstable Hospital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811872" w14:textId="77777777" w:rsidR="005F723E" w:rsidRPr="00037A92" w:rsidRDefault="005F723E" w:rsidP="00C95254">
            <w:pPr>
              <w:pStyle w:val="xmsonorma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A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Bedford Hospital</w:t>
            </w:r>
          </w:p>
        </w:tc>
      </w:tr>
      <w:tr w:rsidR="005F723E" w:rsidRPr="00037A92" w14:paraId="4C03678A" w14:textId="77777777" w:rsidTr="005F723E">
        <w:trPr>
          <w:trHeight w:val="48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9689" w14:textId="77777777" w:rsidR="005F723E" w:rsidRPr="00051988" w:rsidRDefault="005F723E" w:rsidP="005F723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/>
                <w:color w:val="201F1E"/>
              </w:rPr>
            </w:pPr>
            <w:r>
              <w:rPr>
                <w:rFonts w:eastAsia="Times New Roman"/>
                <w:color w:val="201F1E"/>
              </w:rPr>
              <w:t>Does the Hospital currently have a contract for Fire Alarm Maintenance?</w:t>
            </w:r>
            <w:r w:rsidRPr="00324F67">
              <w:br/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6DABC" w14:textId="77777777" w:rsidR="005F723E" w:rsidRPr="00563E50" w:rsidRDefault="005F723E" w:rsidP="00C95254">
            <w:pPr>
              <w:pStyle w:val="xmsonormal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 w:rsidRPr="00563E50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25DBF" w14:textId="77777777" w:rsidR="005F723E" w:rsidRPr="00563E50" w:rsidRDefault="005F723E" w:rsidP="00C95254">
            <w:pPr>
              <w:pStyle w:val="xmsonormal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 w:rsidRPr="00692CCB"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</w:tr>
      <w:tr w:rsidR="005F723E" w:rsidRPr="00037A92" w14:paraId="3C00BB59" w14:textId="77777777" w:rsidTr="005F723E">
        <w:trPr>
          <w:trHeight w:val="714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FC6A" w14:textId="77777777" w:rsidR="005F723E" w:rsidRPr="00051988" w:rsidRDefault="005F723E" w:rsidP="005F723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/>
                <w:color w:val="201F1E"/>
              </w:rPr>
            </w:pPr>
            <w:r w:rsidRPr="00051988">
              <w:rPr>
                <w:rFonts w:eastAsia="Times New Roman"/>
                <w:color w:val="201F1E"/>
              </w:rPr>
              <w:t>When is this contract(s) due to end?</w:t>
            </w:r>
          </w:p>
          <w:p w14:paraId="7C8B3BD5" w14:textId="77777777" w:rsidR="005F723E" w:rsidRPr="00324F67" w:rsidRDefault="005F723E" w:rsidP="00C95254">
            <w:pPr>
              <w:spacing w:after="0" w:line="240" w:lineRule="auto"/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83459B" w14:textId="77777777" w:rsidR="005F723E" w:rsidRPr="00563E50" w:rsidRDefault="005F723E" w:rsidP="00C95254">
            <w:pPr>
              <w:pStyle w:val="xmsonormal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Contract is due to be tendered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11FC16" w14:textId="77777777" w:rsidR="005F723E" w:rsidRPr="00563E50" w:rsidRDefault="005F723E" w:rsidP="00C95254">
            <w:pPr>
              <w:pStyle w:val="xmsonormal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 w:rsidRPr="00692CCB">
              <w:rPr>
                <w:rFonts w:ascii="Arial" w:hAnsi="Arial" w:cs="Arial"/>
                <w:bCs/>
                <w:sz w:val="20"/>
                <w:szCs w:val="20"/>
              </w:rPr>
              <w:t>30/09/2024</w:t>
            </w:r>
          </w:p>
        </w:tc>
      </w:tr>
      <w:tr w:rsidR="005F723E" w:rsidRPr="00037A92" w14:paraId="4E8C7324" w14:textId="77777777" w:rsidTr="005F723E">
        <w:trPr>
          <w:trHeight w:val="629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19A1" w14:textId="77777777" w:rsidR="005F723E" w:rsidRDefault="005F723E" w:rsidP="005F723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/>
                <w:color w:val="201F1E"/>
              </w:rPr>
            </w:pPr>
            <w:r>
              <w:rPr>
                <w:rFonts w:eastAsia="Times New Roman"/>
                <w:color w:val="201F1E"/>
              </w:rPr>
              <w:t>Which companies are these contract(s) with?</w:t>
            </w:r>
          </w:p>
          <w:p w14:paraId="0183F63B" w14:textId="77777777" w:rsidR="005F723E" w:rsidRPr="00324F67" w:rsidRDefault="005F723E" w:rsidP="00C95254">
            <w:pPr>
              <w:pStyle w:val="xmsonormal"/>
              <w:spacing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89E684" w14:textId="77777777" w:rsidR="005F723E" w:rsidRPr="00563E50" w:rsidRDefault="005F723E" w:rsidP="00C95254">
            <w:pPr>
              <w:pStyle w:val="xmsonormal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 w:rsidRPr="00563E50">
              <w:rPr>
                <w:rFonts w:ascii="Arial" w:hAnsi="Arial" w:cs="Arial"/>
                <w:bCs/>
                <w:sz w:val="20"/>
                <w:szCs w:val="20"/>
              </w:rPr>
              <w:t>Aylesbury Fire Systems Ltd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5D1F74" w14:textId="77777777" w:rsidR="005F723E" w:rsidRPr="00563E50" w:rsidRDefault="005F723E" w:rsidP="00C95254">
            <w:pPr>
              <w:pStyle w:val="xmsonormal"/>
              <w:spacing w:after="120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 w:rsidRPr="00692CCB">
              <w:rPr>
                <w:rFonts w:ascii="Arial" w:hAnsi="Arial" w:cs="Arial"/>
                <w:bCs/>
                <w:sz w:val="20"/>
                <w:szCs w:val="20"/>
              </w:rPr>
              <w:t>Honeywell Building Solutions</w:t>
            </w:r>
          </w:p>
        </w:tc>
      </w:tr>
      <w:tr w:rsidR="005F723E" w:rsidRPr="00037A92" w14:paraId="15BCEA30" w14:textId="77777777" w:rsidTr="005F723E">
        <w:trPr>
          <w:trHeight w:val="543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0949" w14:textId="77777777" w:rsidR="005F723E" w:rsidRDefault="005F723E" w:rsidP="005F723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/>
                <w:color w:val="201F1E"/>
              </w:rPr>
            </w:pPr>
            <w:r>
              <w:rPr>
                <w:rFonts w:eastAsia="Times New Roman"/>
                <w:color w:val="201F1E"/>
              </w:rPr>
              <w:t>The manufacturers </w:t>
            </w:r>
            <w:r>
              <w:rPr>
                <w:rStyle w:val="xmarkz7kibcyak"/>
                <w:rFonts w:eastAsia="Times New Roman"/>
                <w:color w:val="201F1E"/>
              </w:rPr>
              <w:t>of</w:t>
            </w:r>
            <w:r>
              <w:rPr>
                <w:rFonts w:eastAsia="Times New Roman"/>
                <w:color w:val="201F1E"/>
              </w:rPr>
              <w:t> the Fire Alarm System?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B33439" w14:textId="77777777" w:rsidR="005F723E" w:rsidRPr="00563E50" w:rsidRDefault="005F723E" w:rsidP="00C95254">
            <w:pPr>
              <w:pStyle w:val="xmsonormal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 w:rsidRPr="00563E50">
              <w:rPr>
                <w:rFonts w:ascii="Arial" w:hAnsi="Arial" w:cs="Arial"/>
                <w:bCs/>
                <w:sz w:val="20"/>
                <w:szCs w:val="20"/>
              </w:rPr>
              <w:t>Advanced Apollo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E74E8B" w14:textId="77777777" w:rsidR="005F723E" w:rsidRPr="00563E50" w:rsidRDefault="005F723E" w:rsidP="00C95254">
            <w:pPr>
              <w:pStyle w:val="xmsonormal"/>
              <w:spacing w:after="120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 w:rsidRPr="00692CCB">
              <w:rPr>
                <w:rFonts w:ascii="Arial" w:hAnsi="Arial" w:cs="Arial"/>
                <w:bCs/>
                <w:sz w:val="20"/>
                <w:szCs w:val="20"/>
              </w:rPr>
              <w:t>Honeywell, Advanced Fire</w:t>
            </w:r>
          </w:p>
        </w:tc>
      </w:tr>
      <w:tr w:rsidR="005F723E" w:rsidRPr="00037A92" w14:paraId="6192EA46" w14:textId="77777777" w:rsidTr="005F723E">
        <w:trPr>
          <w:trHeight w:val="806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F60D" w14:textId="77777777" w:rsidR="005F723E" w:rsidRDefault="005F723E" w:rsidP="005F723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/>
                <w:color w:val="201F1E"/>
              </w:rPr>
            </w:pPr>
            <w:r>
              <w:rPr>
                <w:rFonts w:eastAsia="Times New Roman"/>
                <w:color w:val="201F1E"/>
              </w:rPr>
              <w:t>Is the contract awarded as part </w:t>
            </w:r>
            <w:r>
              <w:rPr>
                <w:rStyle w:val="xmarkz7kibcyak"/>
                <w:rFonts w:eastAsia="Times New Roman"/>
                <w:color w:val="201F1E"/>
              </w:rPr>
              <w:t>of</w:t>
            </w:r>
            <w:r>
              <w:rPr>
                <w:rFonts w:eastAsia="Times New Roman"/>
                <w:color w:val="201F1E"/>
              </w:rPr>
              <w:t> a procurement framework, and if so, which framework was used?</w:t>
            </w:r>
          </w:p>
          <w:p w14:paraId="079C168F" w14:textId="77777777" w:rsidR="005F723E" w:rsidRDefault="005F723E" w:rsidP="00C95254">
            <w:pPr>
              <w:shd w:val="clear" w:color="auto" w:fill="FFFFFF"/>
              <w:spacing w:after="0" w:line="240" w:lineRule="auto"/>
              <w:ind w:left="720"/>
              <w:rPr>
                <w:rFonts w:eastAsia="Times New Roman"/>
                <w:color w:val="201F1E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1A2A85" w14:textId="77777777" w:rsidR="005F723E" w:rsidRPr="00563E50" w:rsidRDefault="005F723E" w:rsidP="00C95254">
            <w:pPr>
              <w:pStyle w:val="xmsonormal"/>
              <w:ind w:left="139"/>
              <w:rPr>
                <w:rFonts w:ascii="Arial" w:hAnsi="Arial" w:cs="Arial"/>
                <w:bCs/>
                <w:sz w:val="20"/>
                <w:szCs w:val="20"/>
              </w:rPr>
            </w:pPr>
            <w:r w:rsidRPr="00563E50">
              <w:rPr>
                <w:rFonts w:ascii="Arial" w:hAnsi="Arial" w:cs="Arial"/>
                <w:bCs/>
                <w:sz w:val="20"/>
                <w:szCs w:val="20"/>
              </w:rPr>
              <w:t>The Trust uses Delta e-Sourcing for procurement projects over £25K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DDD722" w14:textId="77777777" w:rsidR="005F723E" w:rsidRPr="00563E50" w:rsidRDefault="005F723E" w:rsidP="00C95254">
            <w:pPr>
              <w:pStyle w:val="xmsonormal"/>
              <w:spacing w:after="120"/>
              <w:ind w:left="139"/>
              <w:rPr>
                <w:rFonts w:ascii="Arial" w:hAnsi="Arial" w:cs="Arial"/>
                <w:bCs/>
                <w:sz w:val="20"/>
                <w:szCs w:val="20"/>
              </w:rPr>
            </w:pPr>
            <w:r w:rsidRPr="00563E50">
              <w:rPr>
                <w:rFonts w:ascii="Arial" w:hAnsi="Arial" w:cs="Arial"/>
                <w:bCs/>
                <w:sz w:val="20"/>
                <w:szCs w:val="20"/>
              </w:rPr>
              <w:t>The Trust uses Delta e-Sourcing for procurement projects over £25K</w:t>
            </w:r>
          </w:p>
        </w:tc>
      </w:tr>
      <w:tr w:rsidR="005F723E" w:rsidRPr="00037A92" w14:paraId="4E575CF7" w14:textId="77777777" w:rsidTr="005F723E">
        <w:trPr>
          <w:trHeight w:val="683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5EBD" w14:textId="77777777" w:rsidR="005F723E" w:rsidRDefault="005F723E" w:rsidP="005F723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/>
                <w:color w:val="201F1E"/>
              </w:rPr>
            </w:pPr>
            <w:r>
              <w:rPr>
                <w:rFonts w:eastAsia="Times New Roman"/>
                <w:color w:val="201F1E"/>
              </w:rPr>
              <w:t>When does the trust intend to tender for these services?</w:t>
            </w:r>
          </w:p>
          <w:p w14:paraId="1369544D" w14:textId="77777777" w:rsidR="005F723E" w:rsidRDefault="005F723E" w:rsidP="00C95254">
            <w:pPr>
              <w:shd w:val="clear" w:color="auto" w:fill="FFFFFF"/>
              <w:spacing w:after="0" w:line="240" w:lineRule="auto"/>
              <w:ind w:left="720"/>
              <w:rPr>
                <w:rFonts w:eastAsia="Times New Roman"/>
                <w:color w:val="201F1E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D3C711" w14:textId="77777777" w:rsidR="005F723E" w:rsidRPr="00563E50" w:rsidRDefault="005F723E" w:rsidP="00C95254">
            <w:pPr>
              <w:pStyle w:val="xmsonormal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Later this financial year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88C0C0" w14:textId="77777777" w:rsidR="005F723E" w:rsidRPr="00563E50" w:rsidRDefault="005F723E" w:rsidP="00C95254">
            <w:pPr>
              <w:pStyle w:val="xmsonormal"/>
              <w:spacing w:after="120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 w:rsidRPr="00692CCB">
              <w:rPr>
                <w:rFonts w:ascii="Arial" w:hAnsi="Arial" w:cs="Arial"/>
                <w:bCs/>
                <w:sz w:val="20"/>
                <w:szCs w:val="20"/>
              </w:rPr>
              <w:t>Summer 2024</w:t>
            </w:r>
          </w:p>
        </w:tc>
      </w:tr>
      <w:tr w:rsidR="005F723E" w:rsidRPr="00037A92" w14:paraId="78193212" w14:textId="77777777" w:rsidTr="005F723E">
        <w:trPr>
          <w:trHeight w:val="806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5A0F" w14:textId="77777777" w:rsidR="005F723E" w:rsidRDefault="005F723E" w:rsidP="005F723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/>
                <w:color w:val="201F1E"/>
              </w:rPr>
            </w:pPr>
            <w:r>
              <w:rPr>
                <w:rFonts w:eastAsia="Times New Roman"/>
                <w:color w:val="201F1E"/>
              </w:rPr>
              <w:t>The current annual cost of the services provided</w:t>
            </w:r>
          </w:p>
          <w:p w14:paraId="0B099B43" w14:textId="77777777" w:rsidR="005F723E" w:rsidRDefault="005F723E" w:rsidP="00C95254">
            <w:pPr>
              <w:shd w:val="clear" w:color="auto" w:fill="FFFFFF"/>
              <w:spacing w:after="0" w:line="240" w:lineRule="auto"/>
              <w:ind w:left="360"/>
              <w:rPr>
                <w:rFonts w:eastAsia="Times New Roman"/>
                <w:color w:val="201F1E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961A75" w14:textId="77777777" w:rsidR="005F723E" w:rsidRPr="00563E50" w:rsidRDefault="005F723E" w:rsidP="00C95254">
            <w:pPr>
              <w:pStyle w:val="xmsonormal"/>
              <w:ind w:firstLine="139"/>
              <w:rPr>
                <w:rFonts w:ascii="Arial" w:hAnsi="Arial" w:cs="Arial"/>
                <w:bCs/>
                <w:sz w:val="20"/>
                <w:szCs w:val="20"/>
              </w:rPr>
            </w:pPr>
            <w:r w:rsidRPr="00563E50">
              <w:rPr>
                <w:rFonts w:ascii="Arial" w:hAnsi="Arial" w:cs="Arial"/>
                <w:bCs/>
                <w:sz w:val="20"/>
                <w:szCs w:val="20"/>
              </w:rPr>
              <w:t>circa £12K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81A810" w14:textId="77777777" w:rsidR="005F723E" w:rsidRPr="00563E50" w:rsidRDefault="005F723E" w:rsidP="00C95254">
            <w:pPr>
              <w:pStyle w:val="xmsonormal"/>
              <w:spacing w:after="120"/>
              <w:ind w:left="145" w:hanging="6"/>
              <w:rPr>
                <w:rFonts w:ascii="Arial" w:hAnsi="Arial" w:cs="Arial"/>
                <w:bCs/>
                <w:sz w:val="20"/>
                <w:szCs w:val="20"/>
              </w:rPr>
            </w:pPr>
            <w:r w:rsidRPr="00563E5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692CCB">
              <w:rPr>
                <w:rFonts w:ascii="Arial" w:hAnsi="Arial" w:cs="Arial"/>
                <w:bCs/>
                <w:sz w:val="20"/>
                <w:szCs w:val="20"/>
              </w:rPr>
              <w:t>12711 per annum, this will increase as new systems have been added.</w:t>
            </w:r>
          </w:p>
        </w:tc>
      </w:tr>
    </w:tbl>
    <w:p w14:paraId="1244B70A" w14:textId="1E56A81B" w:rsidR="00F92003" w:rsidRDefault="00F92003" w:rsidP="00671C93">
      <w:pPr>
        <w:spacing w:after="5" w:line="250" w:lineRule="auto"/>
        <w:ind w:right="25"/>
        <w:rPr>
          <w:sz w:val="24"/>
          <w:szCs w:val="24"/>
        </w:rPr>
      </w:pP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</w:t>
      </w:r>
      <w:r w:rsidRPr="00982138">
        <w:rPr>
          <w:sz w:val="20"/>
          <w:szCs w:val="20"/>
        </w:rPr>
        <w:lastRenderedPageBreak/>
        <w:t xml:space="preserve">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6600F5C" w14:textId="77777777" w:rsidR="00FD2249" w:rsidRDefault="00D519BE">
      <w:pPr>
        <w:spacing w:after="5" w:line="250" w:lineRule="auto"/>
        <w:ind w:left="10" w:right="25" w:hanging="10"/>
      </w:pPr>
      <w:r>
        <w:rPr>
          <w:sz w:val="24"/>
        </w:rPr>
        <w:t xml:space="preserve">Yours sincerely, </w:t>
      </w:r>
    </w:p>
    <w:p w14:paraId="4E3A0F4B" w14:textId="1EF805E5" w:rsidR="00FD2249" w:rsidRDefault="00D519BE">
      <w:pPr>
        <w:spacing w:after="0"/>
        <w:rPr>
          <w:i/>
          <w:sz w:val="24"/>
        </w:rPr>
      </w:pPr>
      <w:r>
        <w:rPr>
          <w:i/>
          <w:sz w:val="24"/>
        </w:rPr>
        <w:t xml:space="preserve"> </w:t>
      </w:r>
    </w:p>
    <w:p w14:paraId="2C06E3E8" w14:textId="77777777" w:rsidR="00B94328" w:rsidRDefault="00B94328">
      <w:pPr>
        <w:spacing w:after="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0B08" w14:textId="77777777" w:rsidR="00AA0302" w:rsidRDefault="00AA0302" w:rsidP="00097478">
      <w:pPr>
        <w:spacing w:after="0" w:line="240" w:lineRule="auto"/>
      </w:pPr>
      <w:r>
        <w:separator/>
      </w:r>
    </w:p>
  </w:endnote>
  <w:endnote w:type="continuationSeparator" w:id="0">
    <w:p w14:paraId="62BD8F35" w14:textId="77777777" w:rsidR="00AA0302" w:rsidRDefault="00AA0302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3CCAE098" w14:textId="77777777" w:rsidTr="64931E3A">
      <w:tc>
        <w:tcPr>
          <w:tcW w:w="3326" w:type="dxa"/>
        </w:tcPr>
        <w:p w14:paraId="37C1E03D" w14:textId="2F01ECB3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1B6FEE" w:rsidRDefault="001B6FEE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5ACD" w14:textId="77777777" w:rsidR="00AA0302" w:rsidRDefault="00AA0302" w:rsidP="00097478">
      <w:pPr>
        <w:spacing w:after="0" w:line="240" w:lineRule="auto"/>
      </w:pPr>
      <w:r>
        <w:separator/>
      </w:r>
    </w:p>
  </w:footnote>
  <w:footnote w:type="continuationSeparator" w:id="0">
    <w:p w14:paraId="44A882CE" w14:textId="77777777" w:rsidR="00AA0302" w:rsidRDefault="00AA0302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159836DC" w14:textId="77777777" w:rsidTr="64931E3A">
      <w:tc>
        <w:tcPr>
          <w:tcW w:w="3326" w:type="dxa"/>
        </w:tcPr>
        <w:p w14:paraId="192BFDCD" w14:textId="20A62D44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1B6FEE" w:rsidRDefault="001B6FEE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50CEA"/>
    <w:multiLevelType w:val="multilevel"/>
    <w:tmpl w:val="1D9A0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14FD"/>
    <w:rsid w:val="001B6FEE"/>
    <w:rsid w:val="002814E3"/>
    <w:rsid w:val="002A009B"/>
    <w:rsid w:val="002C28BC"/>
    <w:rsid w:val="002D37C4"/>
    <w:rsid w:val="00342FCC"/>
    <w:rsid w:val="003A1C7D"/>
    <w:rsid w:val="003F1F65"/>
    <w:rsid w:val="0042268B"/>
    <w:rsid w:val="004E4D10"/>
    <w:rsid w:val="004E7361"/>
    <w:rsid w:val="00586D11"/>
    <w:rsid w:val="005B72EA"/>
    <w:rsid w:val="005B7BB5"/>
    <w:rsid w:val="005F723E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A66DA2"/>
    <w:rsid w:val="00A94437"/>
    <w:rsid w:val="00AA0302"/>
    <w:rsid w:val="00AA45D5"/>
    <w:rsid w:val="00AB6F2E"/>
    <w:rsid w:val="00AC1E64"/>
    <w:rsid w:val="00B07A7B"/>
    <w:rsid w:val="00B94328"/>
    <w:rsid w:val="00BE5CD2"/>
    <w:rsid w:val="00C230B3"/>
    <w:rsid w:val="00C7493C"/>
    <w:rsid w:val="00CC4635"/>
    <w:rsid w:val="00D0455C"/>
    <w:rsid w:val="00D519BE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5F723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xmarkz7kibcyak">
    <w:name w:val="x_markz7kibcyak"/>
    <w:basedOn w:val="DefaultParagraphFont"/>
    <w:rsid w:val="005F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AB923-9598-467F-9F54-257F0FCD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2022-09-28T14:12:00Z</dcterms:created>
  <dcterms:modified xsi:type="dcterms:W3CDTF">2022-09-28T14:12:00Z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