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2C" w:rsidRPr="00AB3DE7" w:rsidRDefault="00C77FA5" w:rsidP="00C77FA5">
      <w:pPr>
        <w:spacing w:line="240" w:lineRule="auto"/>
        <w:rPr>
          <w:rFonts w:ascii="Arial" w:hAnsi="Arial" w:cs="Arial"/>
          <w:b/>
          <w:w w:val="105"/>
          <w:sz w:val="24"/>
          <w:szCs w:val="24"/>
        </w:rPr>
      </w:pPr>
      <w:r w:rsidRPr="00AB3DE7">
        <w:rPr>
          <w:rFonts w:ascii="Arial" w:hAnsi="Arial" w:cs="Arial"/>
          <w:b/>
          <w:w w:val="105"/>
          <w:sz w:val="24"/>
          <w:szCs w:val="24"/>
        </w:rPr>
        <w:t xml:space="preserve">APPENDIX </w:t>
      </w:r>
      <w:r w:rsidR="00D055D7" w:rsidRPr="00AB3DE7">
        <w:rPr>
          <w:rFonts w:ascii="Arial" w:hAnsi="Arial" w:cs="Arial"/>
          <w:b/>
          <w:w w:val="105"/>
          <w:sz w:val="24"/>
          <w:szCs w:val="24"/>
        </w:rPr>
        <w:t>3</w:t>
      </w:r>
      <w:r w:rsidRPr="00AB3DE7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CF292C" w:rsidRPr="00AB3DE7">
        <w:rPr>
          <w:rFonts w:ascii="Arial" w:hAnsi="Arial" w:cs="Arial"/>
          <w:b/>
          <w:w w:val="105"/>
          <w:sz w:val="24"/>
          <w:szCs w:val="24"/>
        </w:rPr>
        <w:t xml:space="preserve">- </w:t>
      </w:r>
      <w:r w:rsidRPr="00AB3DE7">
        <w:rPr>
          <w:rFonts w:ascii="Arial" w:hAnsi="Arial" w:cs="Arial"/>
          <w:b/>
          <w:w w:val="105"/>
          <w:sz w:val="24"/>
          <w:szCs w:val="24"/>
        </w:rPr>
        <w:t xml:space="preserve">NATIONAL WORKFORCE RACE EQUALITY STANDARD (WRES) </w:t>
      </w:r>
    </w:p>
    <w:p w:rsidR="00C77FA5" w:rsidRPr="00AB3DE7" w:rsidRDefault="00C77FA5" w:rsidP="00C77FA5">
      <w:pPr>
        <w:spacing w:line="240" w:lineRule="auto"/>
        <w:rPr>
          <w:rFonts w:ascii="Arial" w:hAnsi="Arial" w:cs="Arial"/>
          <w:b/>
          <w:w w:val="105"/>
          <w:sz w:val="24"/>
          <w:szCs w:val="24"/>
        </w:rPr>
      </w:pPr>
      <w:r w:rsidRPr="00AB3DE7">
        <w:rPr>
          <w:rFonts w:ascii="Arial" w:hAnsi="Arial" w:cs="Arial"/>
          <w:b/>
          <w:w w:val="105"/>
          <w:sz w:val="24"/>
          <w:szCs w:val="24"/>
        </w:rPr>
        <w:t xml:space="preserve">Purpose of the National WRES </w:t>
      </w:r>
    </w:p>
    <w:p w:rsidR="00C77FA5" w:rsidRPr="00AB3DE7" w:rsidRDefault="00C77FA5" w:rsidP="00C77FA5">
      <w:pPr>
        <w:spacing w:line="240" w:lineRule="auto"/>
        <w:rPr>
          <w:rFonts w:ascii="Arial" w:hAnsi="Arial" w:cs="Arial"/>
          <w:w w:val="105"/>
          <w:sz w:val="24"/>
          <w:szCs w:val="24"/>
        </w:rPr>
      </w:pPr>
      <w:r w:rsidRPr="00AB3DE7">
        <w:rPr>
          <w:rFonts w:ascii="Arial" w:hAnsi="Arial" w:cs="Arial"/>
          <w:w w:val="105"/>
          <w:sz w:val="24"/>
          <w:szCs w:val="24"/>
        </w:rPr>
        <w:t xml:space="preserve">The WRES was devised by NHS England and the NHS Equality and Diversity Council to enable </w:t>
      </w:r>
      <w:r w:rsidR="00F22D89" w:rsidRPr="00AB3DE7">
        <w:rPr>
          <w:rFonts w:ascii="Arial" w:hAnsi="Arial" w:cs="Arial"/>
          <w:w w:val="105"/>
          <w:sz w:val="24"/>
          <w:szCs w:val="24"/>
        </w:rPr>
        <w:t xml:space="preserve">NHS staff from </w:t>
      </w:r>
      <w:bookmarkStart w:id="0" w:name="_GoBack"/>
      <w:bookmarkEnd w:id="0"/>
      <w:r w:rsidRPr="00AB3DE7">
        <w:rPr>
          <w:rFonts w:ascii="Arial" w:hAnsi="Arial" w:cs="Arial"/>
          <w:w w:val="105"/>
          <w:sz w:val="24"/>
          <w:szCs w:val="24"/>
        </w:rPr>
        <w:t xml:space="preserve">Black Minority Ethnicities </w:t>
      </w:r>
      <w:r w:rsidR="004A4FBA" w:rsidRPr="00AB3DE7">
        <w:rPr>
          <w:rFonts w:ascii="Arial" w:hAnsi="Arial" w:cs="Arial"/>
          <w:w w:val="105"/>
          <w:sz w:val="24"/>
          <w:szCs w:val="24"/>
        </w:rPr>
        <w:t>(</w:t>
      </w:r>
      <w:r w:rsidRPr="00AB3DE7">
        <w:rPr>
          <w:rFonts w:ascii="Arial" w:hAnsi="Arial" w:cs="Arial"/>
          <w:w w:val="105"/>
          <w:sz w:val="24"/>
          <w:szCs w:val="24"/>
        </w:rPr>
        <w:t>BME</w:t>
      </w:r>
      <w:r w:rsidR="004A4FBA" w:rsidRPr="00AB3DE7">
        <w:rPr>
          <w:rFonts w:ascii="Arial" w:hAnsi="Arial" w:cs="Arial"/>
          <w:w w:val="105"/>
          <w:sz w:val="24"/>
          <w:szCs w:val="24"/>
        </w:rPr>
        <w:t>)</w:t>
      </w:r>
      <w:r w:rsidRPr="00AB3DE7">
        <w:rPr>
          <w:rFonts w:ascii="Arial" w:hAnsi="Arial" w:cs="Arial"/>
          <w:w w:val="105"/>
          <w:sz w:val="24"/>
          <w:szCs w:val="24"/>
        </w:rPr>
        <w:t xml:space="preserve"> to have equal</w:t>
      </w:r>
      <w:r w:rsidRPr="00AB3DE7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AB3DE7">
        <w:rPr>
          <w:rFonts w:ascii="Arial" w:hAnsi="Arial" w:cs="Arial"/>
          <w:w w:val="105"/>
          <w:sz w:val="24"/>
          <w:szCs w:val="24"/>
        </w:rPr>
        <w:t>access</w:t>
      </w:r>
      <w:r w:rsidRPr="00AB3DE7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AB3DE7">
        <w:rPr>
          <w:rFonts w:ascii="Arial" w:hAnsi="Arial" w:cs="Arial"/>
          <w:w w:val="105"/>
          <w:sz w:val="24"/>
          <w:szCs w:val="24"/>
        </w:rPr>
        <w:t>to</w:t>
      </w:r>
      <w:r w:rsidRPr="00AB3DE7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AB3DE7">
        <w:rPr>
          <w:rFonts w:ascii="Arial" w:hAnsi="Arial" w:cs="Arial"/>
          <w:w w:val="105"/>
          <w:sz w:val="24"/>
          <w:szCs w:val="24"/>
        </w:rPr>
        <w:t>career</w:t>
      </w:r>
      <w:r w:rsidRPr="00AB3DE7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AB3DE7">
        <w:rPr>
          <w:rFonts w:ascii="Arial" w:hAnsi="Arial" w:cs="Arial"/>
          <w:w w:val="105"/>
          <w:sz w:val="24"/>
          <w:szCs w:val="24"/>
        </w:rPr>
        <w:t>opportunities and f</w:t>
      </w:r>
      <w:r w:rsidR="007A0CB2" w:rsidRPr="00AB3DE7">
        <w:rPr>
          <w:rFonts w:ascii="Arial" w:hAnsi="Arial" w:cs="Arial"/>
          <w:w w:val="105"/>
          <w:sz w:val="24"/>
          <w:szCs w:val="24"/>
        </w:rPr>
        <w:t xml:space="preserve">air treatment </w:t>
      </w:r>
      <w:r w:rsidR="009346FB" w:rsidRPr="00AB3DE7">
        <w:rPr>
          <w:rFonts w:ascii="Arial" w:hAnsi="Arial" w:cs="Arial"/>
          <w:w w:val="105"/>
          <w:sz w:val="24"/>
          <w:szCs w:val="24"/>
        </w:rPr>
        <w:t>within the NHS</w:t>
      </w:r>
      <w:r w:rsidR="007A0CB2" w:rsidRPr="00AB3DE7">
        <w:rPr>
          <w:rFonts w:ascii="Arial" w:hAnsi="Arial" w:cs="Arial"/>
          <w:w w:val="105"/>
          <w:sz w:val="24"/>
          <w:szCs w:val="24"/>
        </w:rPr>
        <w:t xml:space="preserve"> workplace</w:t>
      </w:r>
      <w:r w:rsidR="009346FB" w:rsidRPr="00AB3DE7">
        <w:rPr>
          <w:rFonts w:ascii="Arial" w:hAnsi="Arial" w:cs="Arial"/>
          <w:w w:val="105"/>
          <w:sz w:val="24"/>
          <w:szCs w:val="24"/>
        </w:rPr>
        <w:t xml:space="preserve">. </w:t>
      </w:r>
      <w:r w:rsidR="007A0CB2" w:rsidRPr="00AB3DE7">
        <w:rPr>
          <w:rFonts w:ascii="Arial" w:hAnsi="Arial" w:cs="Arial"/>
          <w:w w:val="105"/>
          <w:sz w:val="24"/>
          <w:szCs w:val="24"/>
        </w:rPr>
        <w:t xml:space="preserve">This was in response to research indicating potentially less favourable treatment of BME groups </w:t>
      </w:r>
      <w:r w:rsidR="004A4FBA" w:rsidRPr="00AB3DE7">
        <w:rPr>
          <w:rFonts w:ascii="Arial" w:hAnsi="Arial" w:cs="Arial"/>
          <w:w w:val="105"/>
          <w:sz w:val="24"/>
          <w:szCs w:val="24"/>
        </w:rPr>
        <w:t>with</w:t>
      </w:r>
      <w:r w:rsidR="007A0CB2" w:rsidRPr="00AB3DE7">
        <w:rPr>
          <w:rFonts w:ascii="Arial" w:hAnsi="Arial" w:cs="Arial"/>
          <w:w w:val="105"/>
          <w:sz w:val="24"/>
          <w:szCs w:val="24"/>
        </w:rPr>
        <w:t xml:space="preserve">in the NHS. </w:t>
      </w:r>
    </w:p>
    <w:p w:rsidR="00C77FA5" w:rsidRPr="00AB3DE7" w:rsidRDefault="00C77FA5" w:rsidP="00C77FA5">
      <w:pPr>
        <w:spacing w:line="240" w:lineRule="auto"/>
        <w:rPr>
          <w:rFonts w:ascii="Arial" w:hAnsi="Arial" w:cs="Arial"/>
          <w:w w:val="105"/>
          <w:sz w:val="24"/>
          <w:szCs w:val="24"/>
        </w:rPr>
      </w:pPr>
      <w:r w:rsidRPr="00AB3DE7">
        <w:rPr>
          <w:rFonts w:ascii="Arial" w:hAnsi="Arial" w:cs="Arial"/>
          <w:w w:val="105"/>
          <w:sz w:val="24"/>
          <w:szCs w:val="24"/>
        </w:rPr>
        <w:t xml:space="preserve">Included in the NHS standard contract for NHS providers from 1 July 2015, the Trust has been required to </w:t>
      </w:r>
      <w:r w:rsidR="00D055D7" w:rsidRPr="00AB3DE7">
        <w:rPr>
          <w:rFonts w:ascii="Arial" w:hAnsi="Arial" w:cs="Arial"/>
          <w:w w:val="105"/>
          <w:sz w:val="24"/>
          <w:szCs w:val="24"/>
        </w:rPr>
        <w:t xml:space="preserve">annually </w:t>
      </w:r>
      <w:r w:rsidRPr="00AB3DE7">
        <w:rPr>
          <w:rFonts w:ascii="Arial" w:hAnsi="Arial" w:cs="Arial"/>
          <w:w w:val="105"/>
          <w:sz w:val="24"/>
          <w:szCs w:val="24"/>
        </w:rPr>
        <w:t>demonstrate progress against 9 indicators of workforce race equality</w:t>
      </w:r>
      <w:r w:rsidR="00BF69FC" w:rsidRPr="00AB3DE7">
        <w:rPr>
          <w:rFonts w:ascii="Arial" w:hAnsi="Arial" w:cs="Arial"/>
          <w:w w:val="105"/>
          <w:sz w:val="24"/>
          <w:szCs w:val="24"/>
        </w:rPr>
        <w:t xml:space="preserve">. The indicators focus on Board level representation and differences between the experience </w:t>
      </w:r>
      <w:r w:rsidR="009346FB" w:rsidRPr="00AB3DE7">
        <w:rPr>
          <w:rFonts w:ascii="Arial" w:hAnsi="Arial" w:cs="Arial"/>
          <w:w w:val="105"/>
          <w:sz w:val="24"/>
          <w:szCs w:val="24"/>
        </w:rPr>
        <w:t>or</w:t>
      </w:r>
      <w:r w:rsidR="00BF69FC" w:rsidRPr="00AB3DE7">
        <w:rPr>
          <w:rFonts w:ascii="Arial" w:hAnsi="Arial" w:cs="Arial"/>
          <w:w w:val="105"/>
          <w:sz w:val="24"/>
          <w:szCs w:val="24"/>
        </w:rPr>
        <w:t xml:space="preserve"> treatment of White and BME </w:t>
      </w:r>
      <w:r w:rsidR="009346FB" w:rsidRPr="00AB3DE7">
        <w:rPr>
          <w:rFonts w:ascii="Arial" w:hAnsi="Arial" w:cs="Arial"/>
          <w:w w:val="105"/>
          <w:sz w:val="24"/>
          <w:szCs w:val="24"/>
        </w:rPr>
        <w:t xml:space="preserve">NHS </w:t>
      </w:r>
      <w:r w:rsidR="00BF69FC" w:rsidRPr="00AB3DE7">
        <w:rPr>
          <w:rFonts w:ascii="Arial" w:hAnsi="Arial" w:cs="Arial"/>
          <w:w w:val="105"/>
          <w:sz w:val="24"/>
          <w:szCs w:val="24"/>
        </w:rPr>
        <w:t>staff</w:t>
      </w:r>
      <w:r w:rsidR="009346FB" w:rsidRPr="00AB3DE7">
        <w:rPr>
          <w:rFonts w:ascii="Arial" w:hAnsi="Arial" w:cs="Arial"/>
          <w:w w:val="105"/>
          <w:sz w:val="24"/>
          <w:szCs w:val="24"/>
        </w:rPr>
        <w:t>.</w:t>
      </w:r>
    </w:p>
    <w:p w:rsidR="00431559" w:rsidRPr="00AB3DE7" w:rsidRDefault="00431559" w:rsidP="00431559">
      <w:pPr>
        <w:pStyle w:val="Heading1"/>
        <w:spacing w:before="70"/>
        <w:ind w:left="165" w:right="0"/>
      </w:pPr>
      <w:r w:rsidRPr="00AB3DE7">
        <w:t>The NHS 9 Workforce Race Equality Standard Indicators (April 2016)</w:t>
      </w:r>
    </w:p>
    <w:p w:rsidR="00431559" w:rsidRPr="00AB3DE7" w:rsidRDefault="00431559" w:rsidP="00431559">
      <w:pPr>
        <w:pStyle w:val="BodyText"/>
        <w:spacing w:before="9"/>
        <w:rPr>
          <w:b/>
        </w:rPr>
      </w:pPr>
    </w:p>
    <w:tbl>
      <w:tblPr>
        <w:tblW w:w="8979" w:type="dxa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9"/>
      </w:tblGrid>
      <w:tr w:rsidR="00AB3DE7" w:rsidRPr="00AB3DE7" w:rsidTr="008D1C7E">
        <w:trPr>
          <w:trHeight w:hRule="exact" w:val="524"/>
        </w:trPr>
        <w:tc>
          <w:tcPr>
            <w:tcW w:w="8979" w:type="dxa"/>
            <w:shd w:val="clear" w:color="auto" w:fill="C0E3FF"/>
          </w:tcPr>
          <w:p w:rsidR="00431559" w:rsidRPr="00AB3DE7" w:rsidRDefault="00431559" w:rsidP="00431559">
            <w:pPr>
              <w:pStyle w:val="TableParagraph"/>
              <w:spacing w:before="120" w:after="120" w:line="259" w:lineRule="exact"/>
              <w:ind w:left="113" w:right="431"/>
              <w:rPr>
                <w:sz w:val="24"/>
                <w:szCs w:val="24"/>
              </w:rPr>
            </w:pPr>
            <w:r w:rsidRPr="00AB3DE7">
              <w:rPr>
                <w:b/>
                <w:sz w:val="24"/>
                <w:szCs w:val="24"/>
              </w:rPr>
              <w:t>Indicators</w:t>
            </w:r>
            <w:r w:rsidRPr="00AB3DE7">
              <w:rPr>
                <w:sz w:val="24"/>
                <w:szCs w:val="24"/>
              </w:rPr>
              <w:t xml:space="preserve"> 1-4 - data for White / BME staff is compared for these 4 indicators: </w:t>
            </w:r>
          </w:p>
        </w:tc>
      </w:tr>
      <w:tr w:rsidR="00AB3DE7" w:rsidRPr="00AB3DE7" w:rsidTr="009346FB">
        <w:trPr>
          <w:trHeight w:hRule="exact" w:val="897"/>
        </w:trPr>
        <w:tc>
          <w:tcPr>
            <w:tcW w:w="8979" w:type="dxa"/>
          </w:tcPr>
          <w:p w:rsidR="00431559" w:rsidRPr="00AB3DE7" w:rsidRDefault="00431559" w:rsidP="009346FB">
            <w:pPr>
              <w:pStyle w:val="TableParagraph"/>
              <w:tabs>
                <w:tab w:val="left" w:pos="8696"/>
                <w:tab w:val="left" w:pos="8838"/>
              </w:tabs>
              <w:spacing w:before="120" w:after="240"/>
              <w:ind w:left="113" w:right="141"/>
              <w:rPr>
                <w:sz w:val="24"/>
                <w:szCs w:val="24"/>
              </w:rPr>
            </w:pPr>
            <w:r w:rsidRPr="00AB3DE7">
              <w:rPr>
                <w:b/>
                <w:sz w:val="24"/>
                <w:szCs w:val="24"/>
              </w:rPr>
              <w:t xml:space="preserve">Indicator 1 - </w:t>
            </w:r>
            <w:r w:rsidRPr="00AB3DE7">
              <w:rPr>
                <w:sz w:val="24"/>
                <w:szCs w:val="24"/>
              </w:rPr>
              <w:t>Percentage of staff in each of the AfC Bands 1-9 and VSM (incl</w:t>
            </w:r>
            <w:r w:rsidR="009346FB" w:rsidRPr="00AB3DE7">
              <w:rPr>
                <w:sz w:val="24"/>
                <w:szCs w:val="24"/>
              </w:rPr>
              <w:t xml:space="preserve">. </w:t>
            </w:r>
            <w:r w:rsidRPr="00AB3DE7">
              <w:rPr>
                <w:sz w:val="24"/>
                <w:szCs w:val="24"/>
              </w:rPr>
              <w:t xml:space="preserve">executive Board members) compared with the percentage of staff in the overall workforce. Note: </w:t>
            </w:r>
            <w:r w:rsidR="009346FB" w:rsidRPr="00AB3DE7">
              <w:rPr>
                <w:sz w:val="24"/>
                <w:szCs w:val="24"/>
              </w:rPr>
              <w:t xml:space="preserve">Calculated </w:t>
            </w:r>
            <w:r w:rsidRPr="00AB3DE7">
              <w:rPr>
                <w:sz w:val="24"/>
                <w:szCs w:val="24"/>
              </w:rPr>
              <w:t>separately for non-clinical and for clinical staff</w:t>
            </w:r>
          </w:p>
          <w:p w:rsidR="00431559" w:rsidRPr="00AB3DE7" w:rsidRDefault="00431559" w:rsidP="00431559">
            <w:pPr>
              <w:pStyle w:val="TableParagraph"/>
              <w:spacing w:before="120" w:after="120"/>
              <w:ind w:left="113"/>
              <w:rPr>
                <w:sz w:val="24"/>
                <w:szCs w:val="24"/>
              </w:rPr>
            </w:pPr>
          </w:p>
        </w:tc>
      </w:tr>
      <w:tr w:rsidR="00AB3DE7" w:rsidRPr="00AB3DE7" w:rsidTr="009346FB">
        <w:trPr>
          <w:trHeight w:hRule="exact" w:val="711"/>
        </w:trPr>
        <w:tc>
          <w:tcPr>
            <w:tcW w:w="8979" w:type="dxa"/>
          </w:tcPr>
          <w:p w:rsidR="00431559" w:rsidRPr="00AB3DE7" w:rsidRDefault="00431559" w:rsidP="008D1C7E">
            <w:pPr>
              <w:pStyle w:val="TableParagraph"/>
              <w:spacing w:before="120" w:after="120"/>
              <w:ind w:left="113" w:right="141"/>
              <w:rPr>
                <w:sz w:val="24"/>
                <w:szCs w:val="24"/>
              </w:rPr>
            </w:pPr>
            <w:r w:rsidRPr="00AB3DE7">
              <w:rPr>
                <w:b/>
                <w:sz w:val="24"/>
                <w:szCs w:val="24"/>
              </w:rPr>
              <w:t xml:space="preserve">Indicator 2 - </w:t>
            </w:r>
            <w:r w:rsidRPr="00AB3DE7">
              <w:rPr>
                <w:sz w:val="24"/>
                <w:szCs w:val="24"/>
              </w:rPr>
              <w:t>Relative likelihood of staff being appointed from short</w:t>
            </w:r>
            <w:r w:rsidR="008D1C7E" w:rsidRPr="00AB3DE7">
              <w:rPr>
                <w:sz w:val="24"/>
                <w:szCs w:val="24"/>
              </w:rPr>
              <w:t>-</w:t>
            </w:r>
            <w:r w:rsidRPr="00AB3DE7">
              <w:rPr>
                <w:sz w:val="24"/>
                <w:szCs w:val="24"/>
              </w:rPr>
              <w:t>listing across all posts</w:t>
            </w:r>
          </w:p>
        </w:tc>
      </w:tr>
      <w:tr w:rsidR="00AB3DE7" w:rsidRPr="00AB3DE7" w:rsidTr="008D1C7E">
        <w:trPr>
          <w:trHeight w:hRule="exact" w:val="1123"/>
        </w:trPr>
        <w:tc>
          <w:tcPr>
            <w:tcW w:w="8979" w:type="dxa"/>
          </w:tcPr>
          <w:p w:rsidR="00431559" w:rsidRPr="00AB3DE7" w:rsidRDefault="00431559" w:rsidP="00E37B9A">
            <w:pPr>
              <w:pStyle w:val="TableParagraph"/>
              <w:spacing w:before="120" w:after="120" w:line="272" w:lineRule="exact"/>
              <w:ind w:left="113" w:right="141"/>
              <w:rPr>
                <w:sz w:val="24"/>
                <w:szCs w:val="24"/>
              </w:rPr>
            </w:pPr>
            <w:r w:rsidRPr="00AB3DE7">
              <w:rPr>
                <w:b/>
                <w:sz w:val="24"/>
                <w:szCs w:val="24"/>
              </w:rPr>
              <w:t xml:space="preserve">Indicator 3 - </w:t>
            </w:r>
            <w:r w:rsidRPr="00AB3DE7">
              <w:rPr>
                <w:sz w:val="24"/>
                <w:szCs w:val="24"/>
              </w:rPr>
              <w:t xml:space="preserve">Relative likelihood of staff entering the formal disciplinary process, </w:t>
            </w:r>
            <w:r w:rsidR="00E37B9A" w:rsidRPr="00AB3DE7">
              <w:rPr>
                <w:sz w:val="24"/>
                <w:szCs w:val="24"/>
              </w:rPr>
              <w:t>(</w:t>
            </w:r>
            <w:r w:rsidRPr="00AB3DE7">
              <w:rPr>
                <w:sz w:val="24"/>
                <w:szCs w:val="24"/>
              </w:rPr>
              <w:t>by entry into a formal disciplinary investigation</w:t>
            </w:r>
            <w:r w:rsidR="00E37B9A" w:rsidRPr="00AB3DE7">
              <w:rPr>
                <w:sz w:val="24"/>
                <w:szCs w:val="24"/>
              </w:rPr>
              <w:t>)</w:t>
            </w:r>
            <w:r w:rsidRPr="00AB3DE7">
              <w:rPr>
                <w:sz w:val="24"/>
                <w:szCs w:val="24"/>
              </w:rPr>
              <w:t xml:space="preserve">. This </w:t>
            </w:r>
            <w:r w:rsidRPr="00AB3DE7">
              <w:rPr>
                <w:spacing w:val="-4"/>
                <w:sz w:val="24"/>
                <w:szCs w:val="24"/>
              </w:rPr>
              <w:t>indicator is b</w:t>
            </w:r>
            <w:r w:rsidRPr="00AB3DE7">
              <w:rPr>
                <w:spacing w:val="-3"/>
                <w:sz w:val="24"/>
                <w:szCs w:val="24"/>
              </w:rPr>
              <w:t xml:space="preserve">ased on </w:t>
            </w:r>
            <w:r w:rsidRPr="00AB3DE7">
              <w:rPr>
                <w:spacing w:val="-4"/>
                <w:sz w:val="24"/>
                <w:szCs w:val="24"/>
              </w:rPr>
              <w:t xml:space="preserve">data </w:t>
            </w:r>
            <w:r w:rsidRPr="00AB3DE7">
              <w:rPr>
                <w:spacing w:val="-3"/>
                <w:sz w:val="24"/>
                <w:szCs w:val="24"/>
              </w:rPr>
              <w:t xml:space="preserve">from </w:t>
            </w:r>
            <w:r w:rsidRPr="00AB3DE7">
              <w:rPr>
                <w:sz w:val="24"/>
                <w:szCs w:val="24"/>
              </w:rPr>
              <w:t xml:space="preserve">a 2 </w:t>
            </w:r>
            <w:r w:rsidRPr="00AB3DE7">
              <w:rPr>
                <w:spacing w:val="-5"/>
                <w:sz w:val="24"/>
                <w:szCs w:val="24"/>
              </w:rPr>
              <w:t xml:space="preserve">year rolling average  </w:t>
            </w:r>
            <w:r w:rsidRPr="00AB3DE7">
              <w:rPr>
                <w:spacing w:val="-3"/>
                <w:sz w:val="24"/>
                <w:szCs w:val="24"/>
              </w:rPr>
              <w:t xml:space="preserve">of the </w:t>
            </w:r>
            <w:r w:rsidRPr="00AB3DE7">
              <w:rPr>
                <w:sz w:val="24"/>
                <w:szCs w:val="24"/>
              </w:rPr>
              <w:t>current</w:t>
            </w:r>
            <w:r w:rsidRPr="00AB3DE7">
              <w:rPr>
                <w:spacing w:val="-5"/>
                <w:sz w:val="24"/>
                <w:szCs w:val="24"/>
              </w:rPr>
              <w:t xml:space="preserve"> </w:t>
            </w:r>
            <w:r w:rsidRPr="00AB3DE7">
              <w:rPr>
                <w:spacing w:val="-4"/>
                <w:sz w:val="24"/>
                <w:szCs w:val="24"/>
              </w:rPr>
              <w:t xml:space="preserve">and </w:t>
            </w:r>
            <w:r w:rsidRPr="00AB3DE7">
              <w:rPr>
                <w:spacing w:val="-3"/>
                <w:sz w:val="24"/>
                <w:szCs w:val="24"/>
              </w:rPr>
              <w:t xml:space="preserve">the </w:t>
            </w:r>
            <w:r w:rsidRPr="00AB3DE7">
              <w:rPr>
                <w:spacing w:val="-5"/>
                <w:sz w:val="24"/>
                <w:szCs w:val="24"/>
              </w:rPr>
              <w:t>previous year</w:t>
            </w:r>
          </w:p>
        </w:tc>
      </w:tr>
      <w:tr w:rsidR="00AB3DE7" w:rsidRPr="00AB3DE7" w:rsidTr="00E37B9A">
        <w:trPr>
          <w:trHeight w:hRule="exact" w:val="440"/>
        </w:trPr>
        <w:tc>
          <w:tcPr>
            <w:tcW w:w="8979" w:type="dxa"/>
          </w:tcPr>
          <w:p w:rsidR="00431559" w:rsidRPr="00AB3DE7" w:rsidRDefault="00431559" w:rsidP="00E37B9A">
            <w:pPr>
              <w:pStyle w:val="TableParagraph"/>
              <w:spacing w:before="120" w:after="120" w:line="259" w:lineRule="exact"/>
              <w:ind w:left="113" w:right="269"/>
              <w:rPr>
                <w:sz w:val="24"/>
                <w:szCs w:val="24"/>
              </w:rPr>
            </w:pPr>
            <w:r w:rsidRPr="00AB3DE7">
              <w:rPr>
                <w:b/>
                <w:sz w:val="24"/>
                <w:szCs w:val="24"/>
              </w:rPr>
              <w:t>Indicator 4</w:t>
            </w:r>
            <w:r w:rsidRPr="00AB3DE7">
              <w:rPr>
                <w:sz w:val="24"/>
                <w:szCs w:val="24"/>
              </w:rPr>
              <w:t xml:space="preserve"> - Relative likelihood of staff accessing non-mandatory training / CPD</w:t>
            </w:r>
          </w:p>
        </w:tc>
      </w:tr>
      <w:tr w:rsidR="00AB3DE7" w:rsidRPr="00AB3DE7" w:rsidTr="00E37B9A">
        <w:trPr>
          <w:trHeight w:hRule="exact" w:val="703"/>
        </w:trPr>
        <w:tc>
          <w:tcPr>
            <w:tcW w:w="8979" w:type="dxa"/>
            <w:shd w:val="clear" w:color="auto" w:fill="C0E3FF"/>
          </w:tcPr>
          <w:p w:rsidR="00431559" w:rsidRPr="00AB3DE7" w:rsidRDefault="00431559" w:rsidP="00E37B9A">
            <w:pPr>
              <w:pStyle w:val="TableParagraph"/>
              <w:spacing w:before="120"/>
              <w:ind w:left="113" w:right="431"/>
              <w:rPr>
                <w:sz w:val="24"/>
                <w:szCs w:val="24"/>
              </w:rPr>
            </w:pPr>
            <w:r w:rsidRPr="00AB3DE7">
              <w:rPr>
                <w:b/>
                <w:sz w:val="24"/>
                <w:szCs w:val="24"/>
              </w:rPr>
              <w:t xml:space="preserve">Indicators 5-8 </w:t>
            </w:r>
            <w:r w:rsidR="00E37B9A" w:rsidRPr="00AB3DE7">
              <w:rPr>
                <w:b/>
                <w:sz w:val="24"/>
                <w:szCs w:val="24"/>
              </w:rPr>
              <w:t>–</w:t>
            </w:r>
            <w:r w:rsidRPr="00AB3DE7">
              <w:rPr>
                <w:b/>
                <w:sz w:val="24"/>
                <w:szCs w:val="24"/>
              </w:rPr>
              <w:t xml:space="preserve"> </w:t>
            </w:r>
            <w:r w:rsidR="00E37B9A" w:rsidRPr="00AB3DE7">
              <w:rPr>
                <w:sz w:val="24"/>
                <w:szCs w:val="24"/>
              </w:rPr>
              <w:t>are</w:t>
            </w:r>
            <w:r w:rsidR="00E37B9A" w:rsidRPr="00AB3DE7">
              <w:rPr>
                <w:b/>
                <w:sz w:val="24"/>
                <w:szCs w:val="24"/>
              </w:rPr>
              <w:t xml:space="preserve"> </w:t>
            </w:r>
            <w:r w:rsidRPr="00AB3DE7">
              <w:rPr>
                <w:sz w:val="24"/>
                <w:szCs w:val="24"/>
              </w:rPr>
              <w:t xml:space="preserve">from the National NHS Staff Survey and for each </w:t>
            </w:r>
            <w:r w:rsidR="008D1C7E" w:rsidRPr="00AB3DE7">
              <w:rPr>
                <w:sz w:val="24"/>
                <w:szCs w:val="24"/>
              </w:rPr>
              <w:t>indicator</w:t>
            </w:r>
            <w:r w:rsidRPr="00AB3DE7">
              <w:rPr>
                <w:sz w:val="24"/>
                <w:szCs w:val="24"/>
              </w:rPr>
              <w:t>, the outcomes of the responses for White</w:t>
            </w:r>
            <w:r w:rsidR="008D1C7E" w:rsidRPr="00AB3DE7">
              <w:rPr>
                <w:sz w:val="24"/>
                <w:szCs w:val="24"/>
              </w:rPr>
              <w:t xml:space="preserve"> /</w:t>
            </w:r>
            <w:r w:rsidRPr="00AB3DE7">
              <w:rPr>
                <w:sz w:val="24"/>
                <w:szCs w:val="24"/>
              </w:rPr>
              <w:t>BME staff</w:t>
            </w:r>
            <w:r w:rsidR="008D1C7E" w:rsidRPr="00AB3DE7">
              <w:rPr>
                <w:sz w:val="24"/>
                <w:szCs w:val="24"/>
              </w:rPr>
              <w:t xml:space="preserve"> are compared: </w:t>
            </w:r>
          </w:p>
        </w:tc>
      </w:tr>
      <w:tr w:rsidR="00AB3DE7" w:rsidRPr="00AB3DE7" w:rsidTr="00E37B9A">
        <w:trPr>
          <w:trHeight w:hRule="exact" w:val="715"/>
        </w:trPr>
        <w:tc>
          <w:tcPr>
            <w:tcW w:w="8979" w:type="dxa"/>
          </w:tcPr>
          <w:p w:rsidR="008D1C7E" w:rsidRPr="00AB3DE7" w:rsidRDefault="008D1C7E" w:rsidP="008D1C7E">
            <w:pPr>
              <w:pStyle w:val="TableParagraph"/>
              <w:spacing w:before="120" w:after="120" w:line="272" w:lineRule="exact"/>
              <w:ind w:left="49"/>
              <w:rPr>
                <w:sz w:val="24"/>
                <w:szCs w:val="24"/>
              </w:rPr>
            </w:pPr>
            <w:r w:rsidRPr="00AB3DE7">
              <w:rPr>
                <w:b/>
                <w:sz w:val="24"/>
                <w:szCs w:val="24"/>
              </w:rPr>
              <w:t>Indicator 5 (</w:t>
            </w:r>
            <w:r w:rsidRPr="00AB3DE7">
              <w:rPr>
                <w:sz w:val="24"/>
                <w:szCs w:val="24"/>
              </w:rPr>
              <w:t>KF 25) – Percentage of staff experiencing harassment, bullying or abuse from patients,  relatives  or the public in last 12 months</w:t>
            </w:r>
          </w:p>
        </w:tc>
      </w:tr>
      <w:tr w:rsidR="00AB3DE7" w:rsidRPr="00AB3DE7" w:rsidTr="008D1C7E">
        <w:trPr>
          <w:trHeight w:hRule="exact" w:val="690"/>
        </w:trPr>
        <w:tc>
          <w:tcPr>
            <w:tcW w:w="8979" w:type="dxa"/>
          </w:tcPr>
          <w:p w:rsidR="008D1C7E" w:rsidRPr="00AB3DE7" w:rsidRDefault="008D1C7E" w:rsidP="008D1C7E">
            <w:pPr>
              <w:pStyle w:val="TableParagraph"/>
              <w:spacing w:before="120" w:after="120"/>
              <w:ind w:right="269"/>
              <w:rPr>
                <w:sz w:val="24"/>
                <w:szCs w:val="24"/>
              </w:rPr>
            </w:pPr>
            <w:r w:rsidRPr="00AB3DE7">
              <w:rPr>
                <w:b/>
                <w:sz w:val="24"/>
                <w:szCs w:val="24"/>
              </w:rPr>
              <w:t>Indicator 6 (</w:t>
            </w:r>
            <w:r w:rsidRPr="00AB3DE7">
              <w:rPr>
                <w:sz w:val="24"/>
                <w:szCs w:val="24"/>
              </w:rPr>
              <w:t>KF 26) - Percentage of staff experiencing harassment, bullying or abuse from staff in last 12 months</w:t>
            </w:r>
          </w:p>
        </w:tc>
      </w:tr>
      <w:tr w:rsidR="00AB3DE7" w:rsidRPr="00AB3DE7" w:rsidTr="00E37B9A">
        <w:trPr>
          <w:trHeight w:hRule="exact" w:val="731"/>
        </w:trPr>
        <w:tc>
          <w:tcPr>
            <w:tcW w:w="8979" w:type="dxa"/>
          </w:tcPr>
          <w:p w:rsidR="008D1C7E" w:rsidRPr="00AB3DE7" w:rsidRDefault="008D1C7E" w:rsidP="00E37B9A">
            <w:pPr>
              <w:pStyle w:val="TableParagraph"/>
              <w:spacing w:before="120" w:after="120"/>
              <w:rPr>
                <w:sz w:val="24"/>
                <w:szCs w:val="24"/>
              </w:rPr>
            </w:pPr>
            <w:r w:rsidRPr="00AB3DE7">
              <w:rPr>
                <w:b/>
                <w:sz w:val="24"/>
                <w:szCs w:val="24"/>
              </w:rPr>
              <w:t>Indicator 7 (</w:t>
            </w:r>
            <w:r w:rsidRPr="00AB3DE7">
              <w:rPr>
                <w:sz w:val="24"/>
                <w:szCs w:val="24"/>
              </w:rPr>
              <w:t xml:space="preserve">KF </w:t>
            </w:r>
            <w:r w:rsidRPr="00AB3DE7">
              <w:rPr>
                <w:spacing w:val="-4"/>
                <w:sz w:val="24"/>
                <w:szCs w:val="24"/>
              </w:rPr>
              <w:t xml:space="preserve">21) - </w:t>
            </w:r>
            <w:r w:rsidRPr="00AB3DE7">
              <w:rPr>
                <w:spacing w:val="-3"/>
                <w:sz w:val="24"/>
                <w:szCs w:val="24"/>
              </w:rPr>
              <w:t xml:space="preserve">Percentage </w:t>
            </w:r>
            <w:r w:rsidRPr="00AB3DE7">
              <w:rPr>
                <w:spacing w:val="-6"/>
                <w:sz w:val="24"/>
                <w:szCs w:val="24"/>
              </w:rPr>
              <w:t xml:space="preserve">believing  </w:t>
            </w:r>
            <w:r w:rsidRPr="00AB3DE7">
              <w:rPr>
                <w:spacing w:val="-4"/>
                <w:sz w:val="24"/>
                <w:szCs w:val="24"/>
              </w:rPr>
              <w:t xml:space="preserve">that </w:t>
            </w:r>
            <w:r w:rsidR="00E37B9A" w:rsidRPr="00AB3DE7">
              <w:rPr>
                <w:spacing w:val="-4"/>
                <w:sz w:val="24"/>
                <w:szCs w:val="24"/>
              </w:rPr>
              <w:t>the T</w:t>
            </w:r>
            <w:r w:rsidRPr="00AB3DE7">
              <w:rPr>
                <w:sz w:val="24"/>
                <w:szCs w:val="24"/>
              </w:rPr>
              <w:t xml:space="preserve">rust </w:t>
            </w:r>
            <w:r w:rsidRPr="00AB3DE7">
              <w:rPr>
                <w:spacing w:val="-5"/>
                <w:sz w:val="24"/>
                <w:szCs w:val="24"/>
              </w:rPr>
              <w:t xml:space="preserve">provides equal opportunities </w:t>
            </w:r>
            <w:r w:rsidRPr="00AB3DE7">
              <w:rPr>
                <w:spacing w:val="-3"/>
                <w:sz w:val="24"/>
                <w:szCs w:val="24"/>
              </w:rPr>
              <w:t>for</w:t>
            </w:r>
            <w:r w:rsidRPr="00AB3DE7">
              <w:rPr>
                <w:sz w:val="24"/>
                <w:szCs w:val="24"/>
              </w:rPr>
              <w:t xml:space="preserve"> career progression or promotion</w:t>
            </w:r>
          </w:p>
          <w:p w:rsidR="00E37B9A" w:rsidRPr="00AB3DE7" w:rsidRDefault="00E37B9A" w:rsidP="00E37B9A">
            <w:pPr>
              <w:pStyle w:val="TableParagraph"/>
              <w:spacing w:before="120" w:after="120"/>
              <w:rPr>
                <w:sz w:val="24"/>
                <w:szCs w:val="24"/>
              </w:rPr>
            </w:pPr>
          </w:p>
        </w:tc>
      </w:tr>
      <w:tr w:rsidR="00AB3DE7" w:rsidRPr="00AB3DE7" w:rsidTr="00E37B9A">
        <w:trPr>
          <w:trHeight w:hRule="exact" w:val="983"/>
        </w:trPr>
        <w:tc>
          <w:tcPr>
            <w:tcW w:w="8979" w:type="dxa"/>
          </w:tcPr>
          <w:p w:rsidR="008D1C7E" w:rsidRPr="00AB3DE7" w:rsidRDefault="008D1C7E" w:rsidP="00E37B9A">
            <w:pPr>
              <w:pStyle w:val="TableParagraph"/>
              <w:spacing w:before="120" w:after="120" w:line="272" w:lineRule="exact"/>
              <w:rPr>
                <w:sz w:val="24"/>
                <w:szCs w:val="24"/>
              </w:rPr>
            </w:pPr>
            <w:r w:rsidRPr="00AB3DE7">
              <w:rPr>
                <w:b/>
                <w:sz w:val="24"/>
                <w:szCs w:val="24"/>
              </w:rPr>
              <w:t>Indicator 8 (</w:t>
            </w:r>
            <w:r w:rsidRPr="00AB3DE7">
              <w:rPr>
                <w:sz w:val="24"/>
                <w:szCs w:val="24"/>
              </w:rPr>
              <w:t>Q217) - In the last 12 months staff that have personally experienced discrimination at work from any of the  following- Manager</w:t>
            </w:r>
            <w:r w:rsidR="00E37B9A" w:rsidRPr="00AB3DE7">
              <w:rPr>
                <w:sz w:val="24"/>
                <w:szCs w:val="24"/>
              </w:rPr>
              <w:t>, t</w:t>
            </w:r>
            <w:r w:rsidRPr="00AB3DE7">
              <w:rPr>
                <w:sz w:val="24"/>
                <w:szCs w:val="24"/>
              </w:rPr>
              <w:t>eam  leader or colleagues</w:t>
            </w:r>
          </w:p>
        </w:tc>
      </w:tr>
      <w:tr w:rsidR="00AB3DE7" w:rsidRPr="00AB3DE7" w:rsidTr="00E37B9A">
        <w:trPr>
          <w:trHeight w:hRule="exact" w:val="713"/>
        </w:trPr>
        <w:tc>
          <w:tcPr>
            <w:tcW w:w="8979" w:type="dxa"/>
            <w:shd w:val="clear" w:color="auto" w:fill="C0E3FF"/>
          </w:tcPr>
          <w:p w:rsidR="008D1C7E" w:rsidRPr="00AB3DE7" w:rsidRDefault="008D1C7E" w:rsidP="00E37B9A">
            <w:pPr>
              <w:pStyle w:val="TableParagraph"/>
              <w:spacing w:before="120" w:after="120" w:line="259" w:lineRule="exact"/>
              <w:ind w:left="113" w:right="431"/>
              <w:rPr>
                <w:sz w:val="24"/>
                <w:szCs w:val="24"/>
              </w:rPr>
            </w:pPr>
            <w:r w:rsidRPr="00AB3DE7">
              <w:rPr>
                <w:b/>
                <w:sz w:val="24"/>
                <w:szCs w:val="24"/>
              </w:rPr>
              <w:t xml:space="preserve">Board representation – </w:t>
            </w:r>
            <w:r w:rsidRPr="00AB3DE7">
              <w:rPr>
                <w:sz w:val="24"/>
                <w:szCs w:val="24"/>
              </w:rPr>
              <w:t>indicator 9</w:t>
            </w:r>
            <w:r w:rsidRPr="00AB3DE7">
              <w:rPr>
                <w:b/>
                <w:sz w:val="24"/>
                <w:szCs w:val="24"/>
              </w:rPr>
              <w:t xml:space="preserve"> </w:t>
            </w:r>
            <w:r w:rsidRPr="00AB3DE7">
              <w:rPr>
                <w:sz w:val="24"/>
                <w:szCs w:val="24"/>
              </w:rPr>
              <w:t>compares the difference for White and BME staff</w:t>
            </w:r>
          </w:p>
        </w:tc>
      </w:tr>
      <w:tr w:rsidR="00AB3DE7" w:rsidRPr="00AB3DE7" w:rsidTr="00BF69FC">
        <w:trPr>
          <w:trHeight w:hRule="exact" w:val="855"/>
        </w:trPr>
        <w:tc>
          <w:tcPr>
            <w:tcW w:w="8979" w:type="dxa"/>
          </w:tcPr>
          <w:p w:rsidR="008D1C7E" w:rsidRPr="00AB3DE7" w:rsidRDefault="008D1C7E" w:rsidP="00D055D7">
            <w:pPr>
              <w:pStyle w:val="TableParagraph"/>
              <w:spacing w:before="120" w:after="120" w:line="259" w:lineRule="exact"/>
              <w:ind w:left="51" w:right="431"/>
              <w:rPr>
                <w:sz w:val="24"/>
                <w:szCs w:val="24"/>
              </w:rPr>
            </w:pPr>
            <w:r w:rsidRPr="00AB3DE7">
              <w:rPr>
                <w:b/>
                <w:spacing w:val="-3"/>
                <w:sz w:val="24"/>
                <w:szCs w:val="24"/>
              </w:rPr>
              <w:t>Indicator 9</w:t>
            </w:r>
            <w:r w:rsidRPr="00AB3DE7">
              <w:rPr>
                <w:spacing w:val="-3"/>
                <w:sz w:val="24"/>
                <w:szCs w:val="24"/>
              </w:rPr>
              <w:t xml:space="preserve"> - Percentage difference </w:t>
            </w:r>
            <w:r w:rsidRPr="00AB3DE7">
              <w:rPr>
                <w:spacing w:val="-4"/>
                <w:sz w:val="24"/>
                <w:szCs w:val="24"/>
              </w:rPr>
              <w:t xml:space="preserve">between </w:t>
            </w:r>
            <w:r w:rsidRPr="00AB3DE7">
              <w:rPr>
                <w:spacing w:val="-3"/>
                <w:sz w:val="24"/>
                <w:szCs w:val="24"/>
              </w:rPr>
              <w:t xml:space="preserve">the Trusts Board </w:t>
            </w:r>
            <w:r w:rsidRPr="00AB3DE7">
              <w:rPr>
                <w:sz w:val="24"/>
                <w:szCs w:val="24"/>
              </w:rPr>
              <w:t>membership and its overall workforce</w:t>
            </w:r>
            <w:r w:rsidR="00D055D7" w:rsidRPr="00AB3DE7">
              <w:rPr>
                <w:sz w:val="24"/>
                <w:szCs w:val="24"/>
              </w:rPr>
              <w:t xml:space="preserve"> </w:t>
            </w:r>
            <w:r w:rsidRPr="00AB3DE7">
              <w:rPr>
                <w:sz w:val="24"/>
                <w:szCs w:val="24"/>
              </w:rPr>
              <w:t xml:space="preserve"> </w:t>
            </w:r>
          </w:p>
        </w:tc>
      </w:tr>
    </w:tbl>
    <w:p w:rsidR="00C77FA5" w:rsidRPr="00AB3DE7" w:rsidRDefault="00E37B9A" w:rsidP="00C77FA5">
      <w:pPr>
        <w:pStyle w:val="BodyText"/>
        <w:spacing w:before="1" w:after="120" w:line="280" w:lineRule="exact"/>
        <w:ind w:right="-11"/>
        <w:rPr>
          <w:rFonts w:ascii="Arial" w:hAnsi="Arial" w:cs="Arial"/>
        </w:rPr>
      </w:pPr>
      <w:r w:rsidRPr="00AB3DE7">
        <w:rPr>
          <w:rFonts w:ascii="Arial" w:hAnsi="Arial" w:cs="Arial"/>
          <w:w w:val="105"/>
        </w:rPr>
        <w:lastRenderedPageBreak/>
        <w:t xml:space="preserve">Annually, </w:t>
      </w:r>
      <w:r w:rsidR="00C77FA5" w:rsidRPr="00AB3DE7">
        <w:rPr>
          <w:rFonts w:ascii="Arial" w:hAnsi="Arial" w:cs="Arial"/>
          <w:w w:val="105"/>
        </w:rPr>
        <w:t>each Trust submits data against</w:t>
      </w:r>
      <w:r w:rsidR="00C77FA5" w:rsidRPr="00AB3DE7">
        <w:rPr>
          <w:rFonts w:ascii="Arial" w:hAnsi="Arial" w:cs="Arial"/>
          <w:spacing w:val="-8"/>
          <w:w w:val="105"/>
        </w:rPr>
        <w:t xml:space="preserve"> </w:t>
      </w:r>
      <w:r w:rsidR="00C77FA5" w:rsidRPr="00AB3DE7">
        <w:rPr>
          <w:rFonts w:ascii="Arial" w:hAnsi="Arial" w:cs="Arial"/>
          <w:w w:val="105"/>
        </w:rPr>
        <w:t>the</w:t>
      </w:r>
      <w:r w:rsidR="00C77FA5" w:rsidRPr="00AB3DE7">
        <w:rPr>
          <w:rFonts w:ascii="Arial" w:hAnsi="Arial" w:cs="Arial"/>
          <w:spacing w:val="-8"/>
          <w:w w:val="105"/>
        </w:rPr>
        <w:t xml:space="preserve"> 9 </w:t>
      </w:r>
      <w:r w:rsidR="00C77FA5" w:rsidRPr="00AB3DE7">
        <w:rPr>
          <w:rFonts w:ascii="Arial" w:hAnsi="Arial" w:cs="Arial"/>
          <w:w w:val="105"/>
        </w:rPr>
        <w:t xml:space="preserve">Indicators intended to:   </w:t>
      </w:r>
      <w:r w:rsidR="00C77FA5" w:rsidRPr="00AB3DE7">
        <w:rPr>
          <w:rFonts w:ascii="Arial" w:hAnsi="Arial" w:cs="Arial"/>
          <w:spacing w:val="-8"/>
          <w:w w:val="105"/>
        </w:rPr>
        <w:t xml:space="preserve"> </w:t>
      </w:r>
    </w:p>
    <w:p w:rsidR="00C77FA5" w:rsidRPr="00AB3DE7" w:rsidRDefault="00C77FA5" w:rsidP="00C77FA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B3DE7">
        <w:rPr>
          <w:rFonts w:ascii="Arial" w:hAnsi="Arial" w:cs="Arial"/>
          <w:sz w:val="24"/>
          <w:szCs w:val="24"/>
        </w:rPr>
        <w:t xml:space="preserve">Lead to evidence based action </w:t>
      </w:r>
    </w:p>
    <w:p w:rsidR="00C77FA5" w:rsidRPr="00AB3DE7" w:rsidRDefault="00C77FA5" w:rsidP="00C77FA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B3DE7">
        <w:rPr>
          <w:rFonts w:ascii="Arial" w:hAnsi="Arial" w:cs="Arial"/>
          <w:sz w:val="24"/>
          <w:szCs w:val="24"/>
        </w:rPr>
        <w:t xml:space="preserve">Show the degree of BME representation at senior management and board level </w:t>
      </w:r>
    </w:p>
    <w:p w:rsidR="00C77FA5" w:rsidRPr="00AB3DE7" w:rsidRDefault="00C77FA5" w:rsidP="00C77FA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B3DE7">
        <w:rPr>
          <w:rFonts w:ascii="Arial" w:hAnsi="Arial" w:cs="Arial"/>
          <w:sz w:val="24"/>
          <w:szCs w:val="24"/>
        </w:rPr>
        <w:t xml:space="preserve">Highlight differences in experiences of BME and White staff in the NHS </w:t>
      </w:r>
    </w:p>
    <w:p w:rsidR="00C77FA5" w:rsidRPr="00AB3DE7" w:rsidRDefault="00C77FA5" w:rsidP="00C77FA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B3DE7">
        <w:rPr>
          <w:rFonts w:ascii="Arial" w:hAnsi="Arial" w:cs="Arial"/>
          <w:sz w:val="24"/>
          <w:szCs w:val="24"/>
        </w:rPr>
        <w:t xml:space="preserve">Show where we are, where we need to be and how we can get there </w:t>
      </w:r>
    </w:p>
    <w:p w:rsidR="00C77FA5" w:rsidRPr="00AB3DE7" w:rsidRDefault="00BF69FC" w:rsidP="00C77FA5">
      <w:pPr>
        <w:pStyle w:val="BodyText"/>
        <w:spacing w:after="240" w:line="280" w:lineRule="exact"/>
        <w:ind w:right="-17"/>
        <w:rPr>
          <w:rFonts w:ascii="Arial" w:hAnsi="Arial" w:cs="Arial"/>
        </w:rPr>
      </w:pPr>
      <w:r w:rsidRPr="00AB3DE7">
        <w:rPr>
          <w:rFonts w:ascii="Arial" w:hAnsi="Arial" w:cs="Arial"/>
          <w:b/>
          <w:w w:val="105"/>
        </w:rPr>
        <w:t xml:space="preserve">Learning and Benchmarking – </w:t>
      </w:r>
      <w:r w:rsidR="00D055D7" w:rsidRPr="00AB3DE7">
        <w:rPr>
          <w:rFonts w:ascii="Arial" w:hAnsi="Arial" w:cs="Arial"/>
          <w:w w:val="105"/>
        </w:rPr>
        <w:t xml:space="preserve">Initial results in </w:t>
      </w:r>
      <w:r w:rsidRPr="00AB3DE7">
        <w:rPr>
          <w:rFonts w:ascii="Arial" w:hAnsi="Arial" w:cs="Arial"/>
          <w:w w:val="105"/>
        </w:rPr>
        <w:t>2015</w:t>
      </w:r>
      <w:r w:rsidR="00B10344" w:rsidRPr="00AB3DE7">
        <w:rPr>
          <w:rFonts w:ascii="Arial" w:hAnsi="Arial" w:cs="Arial"/>
          <w:w w:val="105"/>
        </w:rPr>
        <w:t xml:space="preserve"> were a </w:t>
      </w:r>
      <w:r w:rsidRPr="00AB3DE7">
        <w:rPr>
          <w:rFonts w:ascii="Arial" w:hAnsi="Arial" w:cs="Arial"/>
          <w:w w:val="105"/>
        </w:rPr>
        <w:t xml:space="preserve">learning stage for </w:t>
      </w:r>
      <w:r w:rsidR="00C77FA5" w:rsidRPr="00AB3DE7">
        <w:rPr>
          <w:rFonts w:ascii="Arial" w:hAnsi="Arial" w:cs="Arial"/>
          <w:w w:val="105"/>
        </w:rPr>
        <w:t xml:space="preserve">initial discussion and inquiry within </w:t>
      </w:r>
      <w:r w:rsidRPr="00AB3DE7">
        <w:rPr>
          <w:rFonts w:ascii="Arial" w:hAnsi="Arial" w:cs="Arial"/>
          <w:w w:val="105"/>
        </w:rPr>
        <w:t xml:space="preserve">the </w:t>
      </w:r>
      <w:r w:rsidR="00C77FA5" w:rsidRPr="00AB3DE7">
        <w:rPr>
          <w:rFonts w:ascii="Arial" w:hAnsi="Arial" w:cs="Arial"/>
          <w:w w:val="105"/>
        </w:rPr>
        <w:t xml:space="preserve">Trust and to encourage good practice. </w:t>
      </w:r>
    </w:p>
    <w:p w:rsidR="004A4FBA" w:rsidRPr="00AB3DE7" w:rsidRDefault="00BF69FC" w:rsidP="00DC2EB9">
      <w:pPr>
        <w:pStyle w:val="BodyText"/>
        <w:spacing w:after="240" w:line="280" w:lineRule="exact"/>
        <w:ind w:right="-17"/>
        <w:rPr>
          <w:rFonts w:ascii="Arial" w:hAnsi="Arial" w:cs="Arial"/>
          <w:b/>
          <w:w w:val="105"/>
        </w:rPr>
      </w:pPr>
      <w:r w:rsidRPr="00AB3DE7">
        <w:rPr>
          <w:rFonts w:ascii="Arial" w:hAnsi="Arial" w:cs="Arial"/>
          <w:b/>
          <w:w w:val="105"/>
        </w:rPr>
        <w:t>NHS National Report on WRES data submissions</w:t>
      </w:r>
    </w:p>
    <w:p w:rsidR="00E37B9A" w:rsidRPr="00AB3DE7" w:rsidRDefault="00E37B9A" w:rsidP="00E37B9A">
      <w:pPr>
        <w:spacing w:line="240" w:lineRule="auto"/>
        <w:rPr>
          <w:rFonts w:ascii="Arial" w:hAnsi="Arial" w:cs="Arial"/>
          <w:w w:val="105"/>
          <w:sz w:val="24"/>
          <w:szCs w:val="24"/>
        </w:rPr>
      </w:pPr>
      <w:r w:rsidRPr="00AB3DE7">
        <w:rPr>
          <w:rFonts w:ascii="Arial" w:hAnsi="Arial" w:cs="Arial"/>
          <w:w w:val="105"/>
          <w:sz w:val="24"/>
          <w:szCs w:val="24"/>
        </w:rPr>
        <w:t xml:space="preserve">Trusts submit data on an NHS data base designed to help in a National Progress Report and comparison. </w:t>
      </w:r>
    </w:p>
    <w:p w:rsidR="00E37B9A" w:rsidRPr="00AB3DE7" w:rsidRDefault="00E37B9A" w:rsidP="00E37B9A">
      <w:pPr>
        <w:spacing w:line="240" w:lineRule="auto"/>
        <w:rPr>
          <w:rFonts w:ascii="Arial" w:hAnsi="Arial" w:cs="Arial"/>
          <w:w w:val="105"/>
          <w:sz w:val="24"/>
          <w:szCs w:val="24"/>
        </w:rPr>
      </w:pPr>
      <w:r w:rsidRPr="00AB3DE7">
        <w:rPr>
          <w:rFonts w:ascii="Arial" w:hAnsi="Arial" w:cs="Arial"/>
          <w:w w:val="105"/>
          <w:sz w:val="24"/>
          <w:szCs w:val="24"/>
        </w:rPr>
        <w:t>Also f</w:t>
      </w:r>
      <w:r w:rsidR="004A4FBA" w:rsidRPr="00AB3DE7">
        <w:rPr>
          <w:rFonts w:ascii="Arial" w:hAnsi="Arial" w:cs="Arial"/>
          <w:w w:val="105"/>
          <w:sz w:val="24"/>
          <w:szCs w:val="24"/>
        </w:rPr>
        <w:t>rom the National Report and access to National data, the Trust can benchmark nationally and regionally (e.g. Midlands and East of England)</w:t>
      </w:r>
      <w:r w:rsidRPr="00AB3DE7">
        <w:rPr>
          <w:rFonts w:ascii="Arial" w:hAnsi="Arial" w:cs="Arial"/>
          <w:w w:val="105"/>
          <w:sz w:val="24"/>
          <w:szCs w:val="24"/>
        </w:rPr>
        <w:t>;</w:t>
      </w:r>
      <w:r w:rsidR="004A4FBA" w:rsidRPr="00AB3DE7">
        <w:rPr>
          <w:rFonts w:ascii="Arial" w:hAnsi="Arial" w:cs="Arial"/>
          <w:w w:val="105"/>
          <w:sz w:val="24"/>
          <w:szCs w:val="24"/>
        </w:rPr>
        <w:t xml:space="preserve"> with other Acute Trust </w:t>
      </w:r>
      <w:r w:rsidR="00C77FA5" w:rsidRPr="00AB3DE7">
        <w:rPr>
          <w:rFonts w:ascii="Arial" w:hAnsi="Arial" w:cs="Arial"/>
          <w:w w:val="105"/>
          <w:sz w:val="24"/>
          <w:szCs w:val="24"/>
        </w:rPr>
        <w:t>Services</w:t>
      </w:r>
      <w:r w:rsidR="00B10344" w:rsidRPr="00AB3DE7">
        <w:rPr>
          <w:rFonts w:ascii="Arial" w:hAnsi="Arial" w:cs="Arial"/>
          <w:w w:val="105"/>
          <w:sz w:val="24"/>
          <w:szCs w:val="24"/>
        </w:rPr>
        <w:t>,</w:t>
      </w:r>
      <w:r w:rsidR="00C77FA5" w:rsidRPr="00AB3DE7">
        <w:rPr>
          <w:rFonts w:ascii="Arial" w:hAnsi="Arial" w:cs="Arial"/>
          <w:w w:val="105"/>
          <w:sz w:val="24"/>
          <w:szCs w:val="24"/>
        </w:rPr>
        <w:t xml:space="preserve"> and</w:t>
      </w:r>
      <w:r w:rsidR="00BF69FC" w:rsidRPr="00AB3DE7">
        <w:rPr>
          <w:rFonts w:ascii="Arial" w:hAnsi="Arial" w:cs="Arial"/>
          <w:w w:val="105"/>
          <w:sz w:val="24"/>
          <w:szCs w:val="24"/>
        </w:rPr>
        <w:t xml:space="preserve"> </w:t>
      </w:r>
      <w:r w:rsidR="004A4FBA" w:rsidRPr="00AB3DE7">
        <w:rPr>
          <w:rFonts w:ascii="Arial" w:hAnsi="Arial" w:cs="Arial"/>
          <w:w w:val="105"/>
          <w:sz w:val="24"/>
          <w:szCs w:val="24"/>
        </w:rPr>
        <w:t xml:space="preserve">with </w:t>
      </w:r>
      <w:r w:rsidRPr="00AB3DE7">
        <w:rPr>
          <w:rFonts w:ascii="Arial" w:hAnsi="Arial" w:cs="Arial"/>
          <w:w w:val="105"/>
          <w:sz w:val="24"/>
          <w:szCs w:val="24"/>
        </w:rPr>
        <w:t xml:space="preserve">other </w:t>
      </w:r>
      <w:r w:rsidR="004A4FBA" w:rsidRPr="00AB3DE7">
        <w:rPr>
          <w:rFonts w:ascii="Arial" w:hAnsi="Arial" w:cs="Arial"/>
          <w:w w:val="105"/>
          <w:sz w:val="24"/>
          <w:szCs w:val="24"/>
        </w:rPr>
        <w:t xml:space="preserve">more diverse peers. </w:t>
      </w:r>
    </w:p>
    <w:p w:rsidR="00BF69FC" w:rsidRPr="00AB3DE7" w:rsidRDefault="00BF69FC" w:rsidP="00E37B9A">
      <w:pPr>
        <w:spacing w:line="240" w:lineRule="auto"/>
        <w:rPr>
          <w:rFonts w:ascii="Arial" w:hAnsi="Arial" w:cs="Arial"/>
          <w:sz w:val="24"/>
          <w:szCs w:val="24"/>
        </w:rPr>
      </w:pPr>
      <w:r w:rsidRPr="00AB3DE7">
        <w:rPr>
          <w:rFonts w:ascii="Arial" w:hAnsi="Arial" w:cs="Arial"/>
          <w:w w:val="105"/>
          <w:sz w:val="24"/>
          <w:szCs w:val="24"/>
        </w:rPr>
        <w:t xml:space="preserve">Data comparison and publication is intended to assist peer support between </w:t>
      </w:r>
      <w:r w:rsidR="00B10344" w:rsidRPr="00AB3DE7">
        <w:rPr>
          <w:rFonts w:ascii="Arial" w:hAnsi="Arial" w:cs="Arial"/>
          <w:w w:val="105"/>
          <w:sz w:val="24"/>
          <w:szCs w:val="24"/>
        </w:rPr>
        <w:t>T</w:t>
      </w:r>
      <w:r w:rsidRPr="00AB3DE7">
        <w:rPr>
          <w:rFonts w:ascii="Arial" w:hAnsi="Arial" w:cs="Arial"/>
          <w:w w:val="105"/>
          <w:sz w:val="24"/>
          <w:szCs w:val="24"/>
        </w:rPr>
        <w:t xml:space="preserve">rusts, </w:t>
      </w:r>
      <w:r w:rsidR="00B10344" w:rsidRPr="00AB3DE7">
        <w:rPr>
          <w:rFonts w:ascii="Arial" w:hAnsi="Arial" w:cs="Arial"/>
          <w:w w:val="105"/>
          <w:sz w:val="24"/>
          <w:szCs w:val="24"/>
        </w:rPr>
        <w:t xml:space="preserve">lead to </w:t>
      </w:r>
      <w:r w:rsidRPr="00AB3DE7">
        <w:rPr>
          <w:rFonts w:ascii="Arial" w:hAnsi="Arial" w:cs="Arial"/>
          <w:w w:val="105"/>
          <w:sz w:val="24"/>
          <w:szCs w:val="24"/>
        </w:rPr>
        <w:t xml:space="preserve">inquiry into the causes of issues or </w:t>
      </w:r>
      <w:r w:rsidR="004A4FBA" w:rsidRPr="00AB3DE7">
        <w:rPr>
          <w:rFonts w:ascii="Arial" w:hAnsi="Arial" w:cs="Arial"/>
          <w:w w:val="105"/>
          <w:sz w:val="24"/>
          <w:szCs w:val="24"/>
        </w:rPr>
        <w:t xml:space="preserve">trends </w:t>
      </w:r>
      <w:r w:rsidRPr="00AB3DE7">
        <w:rPr>
          <w:rFonts w:ascii="Arial" w:hAnsi="Arial" w:cs="Arial"/>
          <w:w w:val="105"/>
          <w:sz w:val="24"/>
          <w:szCs w:val="24"/>
        </w:rPr>
        <w:t xml:space="preserve">and to assist the national WRES </w:t>
      </w:r>
      <w:r w:rsidRPr="00AB3DE7">
        <w:rPr>
          <w:rFonts w:ascii="Arial" w:hAnsi="Arial" w:cs="Arial"/>
          <w:spacing w:val="-7"/>
          <w:w w:val="105"/>
          <w:sz w:val="24"/>
          <w:szCs w:val="24"/>
        </w:rPr>
        <w:t xml:space="preserve">Team to </w:t>
      </w:r>
      <w:r w:rsidRPr="00AB3DE7">
        <w:rPr>
          <w:rFonts w:ascii="Arial" w:hAnsi="Arial" w:cs="Arial"/>
          <w:w w:val="105"/>
          <w:sz w:val="24"/>
          <w:szCs w:val="24"/>
        </w:rPr>
        <w:t xml:space="preserve">identify </w:t>
      </w:r>
      <w:r w:rsidR="00E37B9A" w:rsidRPr="00AB3DE7">
        <w:rPr>
          <w:rFonts w:ascii="Arial" w:hAnsi="Arial" w:cs="Arial"/>
          <w:w w:val="105"/>
          <w:sz w:val="24"/>
          <w:szCs w:val="24"/>
        </w:rPr>
        <w:t xml:space="preserve">progress </w:t>
      </w:r>
      <w:r w:rsidRPr="00AB3DE7">
        <w:rPr>
          <w:rFonts w:ascii="Arial" w:hAnsi="Arial" w:cs="Arial"/>
          <w:w w:val="105"/>
          <w:sz w:val="24"/>
          <w:szCs w:val="24"/>
        </w:rPr>
        <w:t>and share good practices</w:t>
      </w:r>
      <w:r w:rsidR="00B10344" w:rsidRPr="00AB3DE7">
        <w:rPr>
          <w:rFonts w:ascii="Arial" w:hAnsi="Arial" w:cs="Arial"/>
          <w:w w:val="105"/>
          <w:sz w:val="24"/>
          <w:szCs w:val="24"/>
        </w:rPr>
        <w:t xml:space="preserve">. </w:t>
      </w:r>
      <w:r w:rsidRPr="00AB3DE7">
        <w:rPr>
          <w:rFonts w:ascii="Arial" w:hAnsi="Arial" w:cs="Arial"/>
          <w:w w:val="105"/>
          <w:sz w:val="24"/>
          <w:szCs w:val="24"/>
        </w:rPr>
        <w:t xml:space="preserve"> </w:t>
      </w:r>
    </w:p>
    <w:p w:rsidR="00DC2EB9" w:rsidRPr="00AB3DE7" w:rsidRDefault="00DC2EB9" w:rsidP="00DC2EB9">
      <w:pPr>
        <w:pStyle w:val="BodyText"/>
        <w:spacing w:line="280" w:lineRule="exact"/>
        <w:ind w:right="-46"/>
        <w:rPr>
          <w:rFonts w:ascii="Arial" w:hAnsi="Arial" w:cs="Arial"/>
          <w:w w:val="105"/>
        </w:rPr>
      </w:pPr>
      <w:r w:rsidRPr="00AB3DE7">
        <w:rPr>
          <w:rFonts w:ascii="Arial" w:hAnsi="Arial" w:cs="Arial"/>
          <w:b/>
          <w:w w:val="105"/>
        </w:rPr>
        <w:t xml:space="preserve">Robust Action Plans – </w:t>
      </w:r>
      <w:r w:rsidRPr="00AB3DE7">
        <w:rPr>
          <w:rFonts w:ascii="Arial" w:hAnsi="Arial" w:cs="Arial"/>
          <w:w w:val="105"/>
        </w:rPr>
        <w:t>The Trust is required to understand the data and have robust action plans for continuous improvements as</w:t>
      </w:r>
      <w:r w:rsidRPr="00AB3DE7">
        <w:rPr>
          <w:rFonts w:ascii="Arial" w:hAnsi="Arial" w:cs="Arial"/>
          <w:spacing w:val="-12"/>
          <w:w w:val="105"/>
        </w:rPr>
        <w:t xml:space="preserve"> </w:t>
      </w:r>
      <w:r w:rsidRPr="00AB3DE7">
        <w:rPr>
          <w:rFonts w:ascii="Arial" w:hAnsi="Arial" w:cs="Arial"/>
          <w:w w:val="105"/>
        </w:rPr>
        <w:t>essential</w:t>
      </w:r>
      <w:r w:rsidRPr="00AB3DE7">
        <w:rPr>
          <w:rFonts w:ascii="Arial" w:hAnsi="Arial" w:cs="Arial"/>
          <w:spacing w:val="-12"/>
          <w:w w:val="105"/>
        </w:rPr>
        <w:t xml:space="preserve"> </w:t>
      </w:r>
      <w:r w:rsidRPr="00AB3DE7">
        <w:rPr>
          <w:rFonts w:ascii="Arial" w:hAnsi="Arial" w:cs="Arial"/>
          <w:w w:val="105"/>
        </w:rPr>
        <w:t xml:space="preserve">steps towards helping the workplace to be free from discrimination. </w:t>
      </w:r>
    </w:p>
    <w:p w:rsidR="00DC2EB9" w:rsidRPr="00AB3DE7" w:rsidRDefault="00DC2EB9" w:rsidP="00DC2EB9">
      <w:pPr>
        <w:pStyle w:val="BodyText"/>
        <w:spacing w:before="69" w:line="280" w:lineRule="exact"/>
        <w:ind w:right="-46"/>
        <w:rPr>
          <w:rFonts w:ascii="Arial" w:hAnsi="Arial" w:cs="Arial"/>
          <w:b/>
          <w:w w:val="105"/>
        </w:rPr>
      </w:pPr>
    </w:p>
    <w:p w:rsidR="00BF69FC" w:rsidRPr="00AB3DE7" w:rsidRDefault="00BF69FC" w:rsidP="00BF69FC">
      <w:pPr>
        <w:pStyle w:val="BodyText"/>
        <w:spacing w:line="280" w:lineRule="exact"/>
        <w:ind w:right="-46"/>
        <w:rPr>
          <w:rFonts w:ascii="Arial" w:hAnsi="Arial" w:cs="Arial"/>
          <w:w w:val="105"/>
        </w:rPr>
      </w:pPr>
      <w:r w:rsidRPr="00AB3DE7">
        <w:rPr>
          <w:rFonts w:ascii="Arial" w:hAnsi="Arial" w:cs="Arial"/>
          <w:b/>
          <w:w w:val="105"/>
        </w:rPr>
        <w:t xml:space="preserve">Commitment </w:t>
      </w:r>
      <w:r w:rsidRPr="00AB3DE7">
        <w:rPr>
          <w:rFonts w:ascii="Arial" w:hAnsi="Arial" w:cs="Arial"/>
          <w:w w:val="105"/>
        </w:rPr>
        <w:t>to promoting equality and diversity in the workforce, along with inclusive leadership is crucially associated</w:t>
      </w:r>
      <w:r w:rsidRPr="00AB3DE7">
        <w:rPr>
          <w:rFonts w:ascii="Arial" w:hAnsi="Arial" w:cs="Arial"/>
          <w:spacing w:val="-39"/>
          <w:w w:val="105"/>
        </w:rPr>
        <w:t xml:space="preserve"> </w:t>
      </w:r>
      <w:r w:rsidRPr="00AB3DE7">
        <w:rPr>
          <w:rFonts w:ascii="Arial" w:hAnsi="Arial" w:cs="Arial"/>
          <w:w w:val="105"/>
        </w:rPr>
        <w:t>with increased patient-centred care, innovation, staff morale and access to a wider talent pool.</w:t>
      </w:r>
    </w:p>
    <w:p w:rsidR="00E37B9A" w:rsidRPr="00AB3DE7" w:rsidRDefault="001C506D" w:rsidP="00E37B9A">
      <w:pPr>
        <w:pStyle w:val="BodyText"/>
        <w:spacing w:before="240" w:after="240" w:line="276" w:lineRule="auto"/>
        <w:ind w:right="-11"/>
        <w:rPr>
          <w:rFonts w:ascii="Arial" w:hAnsi="Arial" w:cs="Arial"/>
          <w:w w:val="105"/>
        </w:rPr>
      </w:pPr>
      <w:r w:rsidRPr="00AB3DE7">
        <w:rPr>
          <w:rFonts w:ascii="Arial" w:hAnsi="Arial" w:cs="Arial"/>
          <w:b/>
          <w:w w:val="105"/>
        </w:rPr>
        <w:t xml:space="preserve">The </w:t>
      </w:r>
      <w:r w:rsidR="00040D50" w:rsidRPr="00AB3DE7">
        <w:rPr>
          <w:rFonts w:ascii="Arial" w:hAnsi="Arial" w:cs="Arial"/>
          <w:b/>
          <w:w w:val="105"/>
        </w:rPr>
        <w:t xml:space="preserve">Care Quality Commission’s Role </w:t>
      </w:r>
      <w:r w:rsidR="00E37B9A" w:rsidRPr="00AB3DE7">
        <w:rPr>
          <w:rFonts w:ascii="Arial" w:hAnsi="Arial" w:cs="Arial"/>
          <w:b/>
          <w:w w:val="105"/>
        </w:rPr>
        <w:t xml:space="preserve">- </w:t>
      </w:r>
      <w:r w:rsidR="004A4FBA" w:rsidRPr="00AB3DE7">
        <w:rPr>
          <w:rFonts w:ascii="Arial" w:hAnsi="Arial" w:cs="Arial"/>
          <w:w w:val="105"/>
        </w:rPr>
        <w:t xml:space="preserve">Pre April 2016, CQC piloted its approach to considering </w:t>
      </w:r>
      <w:r w:rsidR="00E37B9A" w:rsidRPr="00AB3DE7">
        <w:rPr>
          <w:rFonts w:ascii="Arial" w:hAnsi="Arial" w:cs="Arial"/>
          <w:w w:val="105"/>
        </w:rPr>
        <w:t xml:space="preserve">EDHR and the </w:t>
      </w:r>
      <w:r w:rsidR="004A4FBA" w:rsidRPr="00AB3DE7">
        <w:rPr>
          <w:rFonts w:ascii="Arial" w:hAnsi="Arial" w:cs="Arial"/>
          <w:w w:val="105"/>
        </w:rPr>
        <w:t xml:space="preserve">WRES in some of their </w:t>
      </w:r>
      <w:r w:rsidR="00E37B9A" w:rsidRPr="00AB3DE7">
        <w:rPr>
          <w:rFonts w:ascii="Arial" w:hAnsi="Arial" w:cs="Arial"/>
          <w:w w:val="105"/>
        </w:rPr>
        <w:t xml:space="preserve">live </w:t>
      </w:r>
      <w:r w:rsidR="004A4FBA" w:rsidRPr="00AB3DE7">
        <w:rPr>
          <w:rFonts w:ascii="Arial" w:hAnsi="Arial" w:cs="Arial"/>
          <w:w w:val="105"/>
        </w:rPr>
        <w:t xml:space="preserve">full inspections. </w:t>
      </w:r>
      <w:r w:rsidR="00E37B9A" w:rsidRPr="00AB3DE7">
        <w:rPr>
          <w:rFonts w:ascii="Arial" w:hAnsi="Arial" w:cs="Arial"/>
          <w:w w:val="105"/>
        </w:rPr>
        <w:t xml:space="preserve">The Trust participated in this pilot in January 2016. </w:t>
      </w:r>
    </w:p>
    <w:p w:rsidR="00040D50" w:rsidRPr="00AB3DE7" w:rsidRDefault="00E37B9A" w:rsidP="00B0638D">
      <w:pPr>
        <w:pStyle w:val="BodyText"/>
        <w:spacing w:before="240" w:after="240" w:line="276" w:lineRule="auto"/>
        <w:ind w:right="-11"/>
        <w:rPr>
          <w:rFonts w:ascii="Arial" w:hAnsi="Arial" w:cs="Arial"/>
          <w:w w:val="105"/>
        </w:rPr>
      </w:pPr>
      <w:r w:rsidRPr="00AB3DE7">
        <w:rPr>
          <w:rFonts w:ascii="Arial" w:hAnsi="Arial" w:cs="Arial"/>
          <w:w w:val="105"/>
        </w:rPr>
        <w:t xml:space="preserve">Since April 2016 progress on the WRES has been part of the “well led” domain in the CQC inspection programme for NHS organisations. It includes </w:t>
      </w:r>
      <w:r w:rsidR="004A4FBA" w:rsidRPr="00AB3DE7">
        <w:rPr>
          <w:rFonts w:ascii="Arial" w:hAnsi="Arial" w:cs="Arial"/>
          <w:w w:val="105"/>
        </w:rPr>
        <w:t>analysis of the organisations’ WRES Report and action plan and how they were addressing any issues arising from their WRES data as part of the evidence used in the inspections.</w:t>
      </w:r>
      <w:r w:rsidR="00594063" w:rsidRPr="00AB3DE7">
        <w:rPr>
          <w:rFonts w:ascii="Arial" w:hAnsi="Arial" w:cs="Arial"/>
          <w:w w:val="105"/>
        </w:rPr>
        <w:t xml:space="preserve"> </w:t>
      </w:r>
      <w:r w:rsidR="00040D50" w:rsidRPr="00AB3DE7">
        <w:rPr>
          <w:rFonts w:ascii="Arial" w:hAnsi="Arial" w:cs="Arial"/>
          <w:w w:val="105"/>
        </w:rPr>
        <w:t xml:space="preserve">CQC </w:t>
      </w:r>
      <w:r w:rsidR="00B10344" w:rsidRPr="00AB3DE7">
        <w:rPr>
          <w:rFonts w:ascii="Arial" w:hAnsi="Arial" w:cs="Arial"/>
          <w:w w:val="105"/>
        </w:rPr>
        <w:t>in</w:t>
      </w:r>
      <w:r w:rsidR="004A4FBA" w:rsidRPr="00AB3DE7">
        <w:rPr>
          <w:rFonts w:ascii="Arial" w:hAnsi="Arial" w:cs="Arial"/>
          <w:w w:val="105"/>
        </w:rPr>
        <w:t xml:space="preserve">spectors are trained in the WRES </w:t>
      </w:r>
      <w:r w:rsidR="00040D50" w:rsidRPr="00AB3DE7">
        <w:rPr>
          <w:rFonts w:ascii="Arial" w:hAnsi="Arial" w:cs="Arial"/>
          <w:w w:val="105"/>
        </w:rPr>
        <w:t>inspection</w:t>
      </w:r>
      <w:r w:rsidR="00B10344" w:rsidRPr="00AB3DE7">
        <w:rPr>
          <w:rFonts w:ascii="Arial" w:hAnsi="Arial" w:cs="Arial"/>
          <w:w w:val="105"/>
        </w:rPr>
        <w:t xml:space="preserve"> </w:t>
      </w:r>
      <w:r w:rsidR="00040D50" w:rsidRPr="00AB3DE7">
        <w:rPr>
          <w:rFonts w:ascii="Arial" w:hAnsi="Arial" w:cs="Arial"/>
          <w:w w:val="105"/>
        </w:rPr>
        <w:t>process</w:t>
      </w:r>
      <w:r w:rsidR="00B10344" w:rsidRPr="00AB3DE7">
        <w:rPr>
          <w:rFonts w:ascii="Arial" w:hAnsi="Arial" w:cs="Arial"/>
          <w:w w:val="105"/>
        </w:rPr>
        <w:t xml:space="preserve">, </w:t>
      </w:r>
      <w:r w:rsidR="004A4FBA" w:rsidRPr="00AB3DE7">
        <w:rPr>
          <w:rFonts w:ascii="Arial" w:hAnsi="Arial" w:cs="Arial"/>
          <w:w w:val="105"/>
        </w:rPr>
        <w:t xml:space="preserve">with </w:t>
      </w:r>
      <w:r w:rsidR="00040D50" w:rsidRPr="00AB3DE7">
        <w:rPr>
          <w:rFonts w:ascii="Arial" w:hAnsi="Arial" w:cs="Arial"/>
          <w:w w:val="105"/>
        </w:rPr>
        <w:t xml:space="preserve">WRES specialist advisors </w:t>
      </w:r>
      <w:r w:rsidR="004A4FBA" w:rsidRPr="00AB3DE7">
        <w:rPr>
          <w:rFonts w:ascii="Arial" w:hAnsi="Arial" w:cs="Arial"/>
          <w:w w:val="105"/>
        </w:rPr>
        <w:t>on the</w:t>
      </w:r>
      <w:r w:rsidR="00594063" w:rsidRPr="00AB3DE7">
        <w:rPr>
          <w:rFonts w:ascii="Arial" w:hAnsi="Arial" w:cs="Arial"/>
          <w:w w:val="105"/>
        </w:rPr>
        <w:t xml:space="preserve"> inspection</w:t>
      </w:r>
      <w:r w:rsidR="00040D50" w:rsidRPr="00AB3DE7">
        <w:rPr>
          <w:rFonts w:ascii="Arial" w:hAnsi="Arial" w:cs="Arial"/>
          <w:w w:val="105"/>
        </w:rPr>
        <w:t xml:space="preserve"> team </w:t>
      </w:r>
      <w:r w:rsidR="00594063" w:rsidRPr="00AB3DE7">
        <w:rPr>
          <w:rFonts w:ascii="Arial" w:hAnsi="Arial" w:cs="Arial"/>
          <w:w w:val="105"/>
        </w:rPr>
        <w:t>who b</w:t>
      </w:r>
      <w:r w:rsidR="004A4FBA" w:rsidRPr="00AB3DE7">
        <w:rPr>
          <w:rFonts w:ascii="Arial" w:hAnsi="Arial" w:cs="Arial"/>
          <w:w w:val="105"/>
        </w:rPr>
        <w:t>rief on the T</w:t>
      </w:r>
      <w:r w:rsidR="00040D50" w:rsidRPr="00AB3DE7">
        <w:rPr>
          <w:rFonts w:ascii="Arial" w:hAnsi="Arial" w:cs="Arial"/>
          <w:w w:val="105"/>
        </w:rPr>
        <w:t xml:space="preserve">rust being inspected </w:t>
      </w:r>
      <w:r w:rsidR="004A4FBA" w:rsidRPr="00AB3DE7">
        <w:rPr>
          <w:rFonts w:ascii="Arial" w:hAnsi="Arial" w:cs="Arial"/>
          <w:w w:val="105"/>
        </w:rPr>
        <w:t>and advise.</w:t>
      </w:r>
    </w:p>
    <w:p w:rsidR="00DC2EB9" w:rsidRPr="00AB3DE7" w:rsidRDefault="00DC2EB9" w:rsidP="00DC2EB9">
      <w:pPr>
        <w:pStyle w:val="Heading1"/>
        <w:tabs>
          <w:tab w:val="left" w:pos="539"/>
        </w:tabs>
        <w:spacing w:before="0" w:line="276" w:lineRule="auto"/>
        <w:ind w:left="0" w:right="492"/>
        <w:rPr>
          <w:b w:val="0"/>
        </w:rPr>
      </w:pPr>
      <w:r w:rsidRPr="00AB3DE7">
        <w:rPr>
          <w:spacing w:val="2"/>
        </w:rPr>
        <w:t xml:space="preserve">The </w:t>
      </w:r>
      <w:r w:rsidRPr="00AB3DE7">
        <w:rPr>
          <w:spacing w:val="-4"/>
        </w:rPr>
        <w:t xml:space="preserve">WRES </w:t>
      </w:r>
      <w:r w:rsidRPr="00AB3DE7">
        <w:rPr>
          <w:spacing w:val="-3"/>
        </w:rPr>
        <w:t xml:space="preserve">and </w:t>
      </w:r>
      <w:r w:rsidRPr="00AB3DE7">
        <w:t xml:space="preserve">the </w:t>
      </w:r>
      <w:r w:rsidRPr="00AB3DE7">
        <w:rPr>
          <w:spacing w:val="-4"/>
        </w:rPr>
        <w:t xml:space="preserve">Equality </w:t>
      </w:r>
      <w:r w:rsidRPr="00AB3DE7">
        <w:rPr>
          <w:spacing w:val="-5"/>
        </w:rPr>
        <w:t xml:space="preserve">Delivery </w:t>
      </w:r>
      <w:r w:rsidRPr="00AB3DE7">
        <w:t>System</w:t>
      </w:r>
      <w:r w:rsidRPr="00AB3DE7">
        <w:rPr>
          <w:spacing w:val="7"/>
        </w:rPr>
        <w:t xml:space="preserve"> </w:t>
      </w:r>
      <w:r w:rsidRPr="00AB3DE7">
        <w:rPr>
          <w:spacing w:val="-4"/>
        </w:rPr>
        <w:t xml:space="preserve">(EDS2) – </w:t>
      </w:r>
      <w:r w:rsidRPr="00AB3DE7">
        <w:rPr>
          <w:b w:val="0"/>
          <w:spacing w:val="-4"/>
        </w:rPr>
        <w:t>EDS2</w:t>
      </w:r>
      <w:r w:rsidRPr="00AB3DE7">
        <w:rPr>
          <w:b w:val="0"/>
        </w:rPr>
        <w:t xml:space="preserve"> </w:t>
      </w:r>
      <w:r w:rsidRPr="00AB3DE7">
        <w:rPr>
          <w:b w:val="0"/>
          <w:spacing w:val="-5"/>
        </w:rPr>
        <w:t>helps NHS Trusts</w:t>
      </w:r>
      <w:r w:rsidRPr="00AB3DE7">
        <w:rPr>
          <w:b w:val="0"/>
          <w:spacing w:val="-4"/>
        </w:rPr>
        <w:t xml:space="preserve">, </w:t>
      </w:r>
      <w:r w:rsidRPr="00AB3DE7">
        <w:rPr>
          <w:b w:val="0"/>
          <w:spacing w:val="-3"/>
        </w:rPr>
        <w:t xml:space="preserve">in </w:t>
      </w:r>
      <w:r w:rsidRPr="00AB3DE7">
        <w:rPr>
          <w:b w:val="0"/>
        </w:rPr>
        <w:t xml:space="preserve">discussion with their </w:t>
      </w:r>
      <w:r w:rsidRPr="00AB3DE7">
        <w:rPr>
          <w:b w:val="0"/>
          <w:spacing w:val="-3"/>
        </w:rPr>
        <w:t xml:space="preserve">stakeholders, to </w:t>
      </w:r>
      <w:r w:rsidRPr="00AB3DE7">
        <w:rPr>
          <w:b w:val="0"/>
          <w:spacing w:val="-5"/>
        </w:rPr>
        <w:t xml:space="preserve">review </w:t>
      </w:r>
      <w:r w:rsidRPr="00AB3DE7">
        <w:rPr>
          <w:b w:val="0"/>
          <w:spacing w:val="-4"/>
        </w:rPr>
        <w:t xml:space="preserve">and </w:t>
      </w:r>
      <w:r w:rsidRPr="00AB3DE7">
        <w:rPr>
          <w:b w:val="0"/>
          <w:spacing w:val="-3"/>
        </w:rPr>
        <w:t xml:space="preserve">improve </w:t>
      </w:r>
      <w:r w:rsidRPr="00AB3DE7">
        <w:rPr>
          <w:b w:val="0"/>
          <w:spacing w:val="-5"/>
        </w:rPr>
        <w:t xml:space="preserve">their </w:t>
      </w:r>
      <w:r w:rsidRPr="00AB3DE7">
        <w:rPr>
          <w:b w:val="0"/>
        </w:rPr>
        <w:t xml:space="preserve">performance </w:t>
      </w:r>
      <w:r w:rsidRPr="00AB3DE7">
        <w:rPr>
          <w:b w:val="0"/>
          <w:spacing w:val="-3"/>
        </w:rPr>
        <w:t xml:space="preserve">for </w:t>
      </w:r>
      <w:r w:rsidRPr="00AB3DE7">
        <w:rPr>
          <w:b w:val="0"/>
          <w:spacing w:val="-4"/>
        </w:rPr>
        <w:t xml:space="preserve">patients, </w:t>
      </w:r>
      <w:r w:rsidRPr="00AB3DE7">
        <w:rPr>
          <w:b w:val="0"/>
        </w:rPr>
        <w:t xml:space="preserve">communities </w:t>
      </w:r>
      <w:r w:rsidRPr="00AB3DE7">
        <w:rPr>
          <w:b w:val="0"/>
          <w:spacing w:val="-4"/>
        </w:rPr>
        <w:t xml:space="preserve">and </w:t>
      </w:r>
      <w:r w:rsidRPr="00AB3DE7">
        <w:rPr>
          <w:b w:val="0"/>
        </w:rPr>
        <w:t xml:space="preserve">staff for characteristics </w:t>
      </w:r>
      <w:r w:rsidRPr="00AB3DE7">
        <w:rPr>
          <w:b w:val="0"/>
          <w:spacing w:val="-3"/>
        </w:rPr>
        <w:t xml:space="preserve">protected by the </w:t>
      </w:r>
      <w:r w:rsidRPr="00AB3DE7">
        <w:rPr>
          <w:b w:val="0"/>
          <w:spacing w:val="-5"/>
        </w:rPr>
        <w:t xml:space="preserve">Equality </w:t>
      </w:r>
      <w:r w:rsidRPr="00AB3DE7">
        <w:rPr>
          <w:b w:val="0"/>
          <w:spacing w:val="-4"/>
        </w:rPr>
        <w:t>Act</w:t>
      </w:r>
      <w:r w:rsidRPr="00AB3DE7">
        <w:rPr>
          <w:b w:val="0"/>
          <w:spacing w:val="-17"/>
        </w:rPr>
        <w:t xml:space="preserve"> </w:t>
      </w:r>
      <w:r w:rsidRPr="00AB3DE7">
        <w:rPr>
          <w:b w:val="0"/>
          <w:spacing w:val="-5"/>
        </w:rPr>
        <w:t>2010. T</w:t>
      </w:r>
      <w:r w:rsidRPr="00AB3DE7">
        <w:rPr>
          <w:b w:val="0"/>
        </w:rPr>
        <w:t xml:space="preserve">he WRES covers just the characteristic of Race with focus on the less favourable treatment and experience of BME staff in the NHS. </w:t>
      </w:r>
    </w:p>
    <w:p w:rsidR="00DC2EB9" w:rsidRPr="00AB3DE7" w:rsidRDefault="00DC2EB9" w:rsidP="00DC2EB9">
      <w:pPr>
        <w:pStyle w:val="Heading1"/>
        <w:tabs>
          <w:tab w:val="left" w:pos="539"/>
        </w:tabs>
        <w:spacing w:before="0" w:line="276" w:lineRule="auto"/>
        <w:ind w:left="0" w:right="492"/>
        <w:rPr>
          <w:b w:val="0"/>
        </w:rPr>
      </w:pPr>
    </w:p>
    <w:p w:rsidR="00DC2EB9" w:rsidRPr="00AB3DE7" w:rsidRDefault="00DC2EB9" w:rsidP="00CF292C">
      <w:pPr>
        <w:pStyle w:val="Heading1"/>
        <w:tabs>
          <w:tab w:val="left" w:pos="539"/>
        </w:tabs>
        <w:spacing w:before="0" w:line="276" w:lineRule="auto"/>
        <w:ind w:left="0" w:right="492"/>
        <w:rPr>
          <w:b w:val="0"/>
        </w:rPr>
      </w:pPr>
      <w:r w:rsidRPr="00AB3DE7">
        <w:rPr>
          <w:b w:val="0"/>
        </w:rPr>
        <w:lastRenderedPageBreak/>
        <w:t xml:space="preserve">However, the </w:t>
      </w:r>
      <w:r w:rsidRPr="00AB3DE7">
        <w:rPr>
          <w:b w:val="0"/>
          <w:spacing w:val="-4"/>
        </w:rPr>
        <w:t>data</w:t>
      </w:r>
      <w:r w:rsidRPr="00AB3DE7">
        <w:rPr>
          <w:b w:val="0"/>
          <w:spacing w:val="58"/>
        </w:rPr>
        <w:t xml:space="preserve"> </w:t>
      </w:r>
      <w:r w:rsidRPr="00AB3DE7">
        <w:rPr>
          <w:b w:val="0"/>
          <w:spacing w:val="-4"/>
        </w:rPr>
        <w:t xml:space="preserve">and analyses </w:t>
      </w:r>
      <w:r w:rsidRPr="00AB3DE7">
        <w:rPr>
          <w:b w:val="0"/>
          <w:spacing w:val="-3"/>
        </w:rPr>
        <w:t xml:space="preserve">for the </w:t>
      </w:r>
      <w:r w:rsidRPr="00AB3DE7">
        <w:rPr>
          <w:b w:val="0"/>
          <w:spacing w:val="3"/>
        </w:rPr>
        <w:t xml:space="preserve">WRES </w:t>
      </w:r>
      <w:r w:rsidRPr="00AB3DE7">
        <w:rPr>
          <w:b w:val="0"/>
          <w:spacing w:val="-4"/>
        </w:rPr>
        <w:t xml:space="preserve">indicators </w:t>
      </w:r>
      <w:r w:rsidRPr="00AB3DE7">
        <w:rPr>
          <w:b w:val="0"/>
          <w:spacing w:val="-3"/>
        </w:rPr>
        <w:t xml:space="preserve">will </w:t>
      </w:r>
      <w:r w:rsidRPr="00AB3DE7">
        <w:rPr>
          <w:b w:val="0"/>
        </w:rPr>
        <w:t xml:space="preserve">assist </w:t>
      </w:r>
      <w:r w:rsidRPr="00AB3DE7">
        <w:rPr>
          <w:b w:val="0"/>
          <w:spacing w:val="-4"/>
        </w:rPr>
        <w:t xml:space="preserve">organisations </w:t>
      </w:r>
      <w:r w:rsidRPr="00AB3DE7">
        <w:rPr>
          <w:b w:val="0"/>
          <w:spacing w:val="-3"/>
        </w:rPr>
        <w:t xml:space="preserve">when implementing </w:t>
      </w:r>
      <w:r w:rsidRPr="00AB3DE7">
        <w:rPr>
          <w:b w:val="0"/>
        </w:rPr>
        <w:t xml:space="preserve">EDS2, </w:t>
      </w:r>
      <w:r w:rsidRPr="00AB3DE7">
        <w:rPr>
          <w:b w:val="0"/>
          <w:spacing w:val="-3"/>
        </w:rPr>
        <w:t xml:space="preserve">in particular </w:t>
      </w:r>
      <w:r w:rsidRPr="00AB3DE7">
        <w:rPr>
          <w:b w:val="0"/>
        </w:rPr>
        <w:t xml:space="preserve">with </w:t>
      </w:r>
      <w:r w:rsidR="00F22D89" w:rsidRPr="00AB3DE7">
        <w:rPr>
          <w:b w:val="0"/>
        </w:rPr>
        <w:t xml:space="preserve">EDS </w:t>
      </w:r>
      <w:r w:rsidRPr="00AB3DE7">
        <w:rPr>
          <w:b w:val="0"/>
        </w:rPr>
        <w:t xml:space="preserve">outcomes </w:t>
      </w:r>
      <w:r w:rsidRPr="00AB3DE7">
        <w:rPr>
          <w:b w:val="0"/>
          <w:spacing w:val="-5"/>
        </w:rPr>
        <w:t xml:space="preserve">under </w:t>
      </w:r>
      <w:r w:rsidRPr="00AB3DE7">
        <w:rPr>
          <w:b w:val="0"/>
          <w:spacing w:val="-6"/>
        </w:rPr>
        <w:t xml:space="preserve">Goals </w:t>
      </w:r>
      <w:r w:rsidRPr="00AB3DE7">
        <w:rPr>
          <w:b w:val="0"/>
        </w:rPr>
        <w:t xml:space="preserve">3 </w:t>
      </w:r>
      <w:r w:rsidRPr="00AB3DE7">
        <w:rPr>
          <w:b w:val="0"/>
          <w:spacing w:val="-4"/>
        </w:rPr>
        <w:t xml:space="preserve">and </w:t>
      </w:r>
      <w:r w:rsidRPr="00AB3DE7">
        <w:rPr>
          <w:b w:val="0"/>
        </w:rPr>
        <w:t>4</w:t>
      </w:r>
      <w:r w:rsidR="00CF292C" w:rsidRPr="00AB3DE7">
        <w:rPr>
          <w:b w:val="0"/>
        </w:rPr>
        <w:t xml:space="preserve">: </w:t>
      </w:r>
    </w:p>
    <w:p w:rsidR="00CF292C" w:rsidRPr="00AB3DE7" w:rsidRDefault="00CF292C" w:rsidP="00CF292C">
      <w:pPr>
        <w:pStyle w:val="Heading1"/>
        <w:tabs>
          <w:tab w:val="left" w:pos="539"/>
        </w:tabs>
        <w:spacing w:before="0" w:line="276" w:lineRule="auto"/>
        <w:ind w:left="0" w:right="492"/>
        <w:rPr>
          <w:b w:val="0"/>
        </w:rPr>
      </w:pPr>
    </w:p>
    <w:p w:rsidR="00DC2EB9" w:rsidRPr="00AB3DE7" w:rsidRDefault="00DC2EB9" w:rsidP="00DC2EB9">
      <w:pPr>
        <w:pStyle w:val="Heading3"/>
        <w:spacing w:before="1"/>
        <w:rPr>
          <w:rFonts w:ascii="Arial" w:hAnsi="Arial" w:cs="Arial"/>
          <w:color w:val="auto"/>
          <w:sz w:val="24"/>
          <w:szCs w:val="24"/>
        </w:rPr>
      </w:pPr>
      <w:r w:rsidRPr="00AB3DE7">
        <w:rPr>
          <w:rFonts w:ascii="Arial" w:hAnsi="Arial" w:cs="Arial"/>
          <w:color w:val="auto"/>
          <w:sz w:val="24"/>
          <w:szCs w:val="24"/>
        </w:rPr>
        <w:t>Goal 3: A representative and supported workforce –</w:t>
      </w:r>
      <w:r w:rsidR="00CF292C" w:rsidRPr="00AB3DE7">
        <w:rPr>
          <w:rFonts w:ascii="Arial" w:hAnsi="Arial" w:cs="Arial"/>
          <w:color w:val="auto"/>
          <w:sz w:val="24"/>
          <w:szCs w:val="24"/>
        </w:rPr>
        <w:t xml:space="preserve"> </w:t>
      </w:r>
      <w:r w:rsidRPr="00AB3DE7">
        <w:rPr>
          <w:rFonts w:ascii="Arial" w:hAnsi="Arial" w:cs="Arial"/>
          <w:color w:val="auto"/>
          <w:sz w:val="24"/>
          <w:szCs w:val="24"/>
        </w:rPr>
        <w:t>EDS2 outcomes:</w:t>
      </w:r>
    </w:p>
    <w:p w:rsidR="00DC2EB9" w:rsidRPr="00AB3DE7" w:rsidRDefault="00DC2EB9" w:rsidP="00DC2EB9">
      <w:pPr>
        <w:pStyle w:val="ListParagraph"/>
        <w:widowControl w:val="0"/>
        <w:numPr>
          <w:ilvl w:val="1"/>
          <w:numId w:val="7"/>
        </w:numPr>
        <w:tabs>
          <w:tab w:val="left" w:pos="827"/>
        </w:tabs>
        <w:spacing w:before="156" w:after="0"/>
        <w:ind w:right="1365"/>
        <w:contextualSpacing w:val="0"/>
        <w:rPr>
          <w:rFonts w:ascii="Arial" w:hAnsi="Arial" w:cs="Arial"/>
          <w:sz w:val="24"/>
          <w:szCs w:val="24"/>
        </w:rPr>
      </w:pPr>
      <w:r w:rsidRPr="00AB3DE7">
        <w:rPr>
          <w:rFonts w:ascii="Arial" w:hAnsi="Arial" w:cs="Arial"/>
          <w:spacing w:val="-3"/>
          <w:sz w:val="24"/>
          <w:szCs w:val="24"/>
        </w:rPr>
        <w:t xml:space="preserve">3.1 </w:t>
      </w:r>
      <w:r w:rsidRPr="00AB3DE7">
        <w:rPr>
          <w:rFonts w:ascii="Arial" w:hAnsi="Arial" w:cs="Arial"/>
          <w:sz w:val="24"/>
          <w:szCs w:val="24"/>
        </w:rPr>
        <w:t xml:space="preserve">– </w:t>
      </w:r>
      <w:r w:rsidRPr="00AB3DE7">
        <w:rPr>
          <w:rFonts w:ascii="Arial" w:hAnsi="Arial" w:cs="Arial"/>
          <w:spacing w:val="-4"/>
          <w:sz w:val="24"/>
          <w:szCs w:val="24"/>
        </w:rPr>
        <w:t xml:space="preserve">Fair </w:t>
      </w:r>
      <w:r w:rsidRPr="00AB3DE7">
        <w:rPr>
          <w:rFonts w:ascii="Arial" w:hAnsi="Arial" w:cs="Arial"/>
          <w:spacing w:val="-10"/>
          <w:sz w:val="24"/>
          <w:szCs w:val="24"/>
        </w:rPr>
        <w:t xml:space="preserve">NHS </w:t>
      </w:r>
      <w:r w:rsidRPr="00AB3DE7">
        <w:rPr>
          <w:rFonts w:ascii="Arial" w:hAnsi="Arial" w:cs="Arial"/>
          <w:sz w:val="24"/>
          <w:szCs w:val="24"/>
        </w:rPr>
        <w:t xml:space="preserve">recruitment </w:t>
      </w:r>
      <w:r w:rsidRPr="00AB3DE7">
        <w:rPr>
          <w:rFonts w:ascii="Arial" w:hAnsi="Arial" w:cs="Arial"/>
          <w:spacing w:val="-4"/>
          <w:sz w:val="24"/>
          <w:szCs w:val="24"/>
        </w:rPr>
        <w:t xml:space="preserve">and </w:t>
      </w:r>
      <w:r w:rsidRPr="00AB3DE7">
        <w:rPr>
          <w:rFonts w:ascii="Arial" w:hAnsi="Arial" w:cs="Arial"/>
          <w:spacing w:val="-3"/>
          <w:sz w:val="24"/>
          <w:szCs w:val="24"/>
        </w:rPr>
        <w:t xml:space="preserve">selection </w:t>
      </w:r>
      <w:r w:rsidRPr="00AB3DE7">
        <w:rPr>
          <w:rFonts w:ascii="Arial" w:hAnsi="Arial" w:cs="Arial"/>
          <w:sz w:val="24"/>
          <w:szCs w:val="24"/>
        </w:rPr>
        <w:t xml:space="preserve">processes </w:t>
      </w:r>
      <w:r w:rsidRPr="00AB3DE7">
        <w:rPr>
          <w:rFonts w:ascii="Arial" w:hAnsi="Arial" w:cs="Arial"/>
          <w:spacing w:val="-5"/>
          <w:sz w:val="24"/>
          <w:szCs w:val="24"/>
        </w:rPr>
        <w:t xml:space="preserve">lead </w:t>
      </w:r>
      <w:r w:rsidRPr="00AB3DE7">
        <w:rPr>
          <w:rFonts w:ascii="Arial" w:hAnsi="Arial" w:cs="Arial"/>
          <w:sz w:val="24"/>
          <w:szCs w:val="24"/>
        </w:rPr>
        <w:t xml:space="preserve">to a more </w:t>
      </w:r>
      <w:r w:rsidRPr="00AB3DE7">
        <w:rPr>
          <w:rFonts w:ascii="Arial" w:hAnsi="Arial" w:cs="Arial"/>
          <w:spacing w:val="-4"/>
          <w:sz w:val="24"/>
          <w:szCs w:val="24"/>
        </w:rPr>
        <w:t xml:space="preserve">representative  </w:t>
      </w:r>
      <w:r w:rsidRPr="00AB3DE7">
        <w:rPr>
          <w:rFonts w:ascii="Arial" w:hAnsi="Arial" w:cs="Arial"/>
          <w:sz w:val="24"/>
          <w:szCs w:val="24"/>
        </w:rPr>
        <w:t xml:space="preserve">workforce </w:t>
      </w:r>
      <w:r w:rsidRPr="00AB3DE7">
        <w:rPr>
          <w:rFonts w:ascii="Arial" w:hAnsi="Arial" w:cs="Arial"/>
          <w:spacing w:val="-3"/>
          <w:sz w:val="24"/>
          <w:szCs w:val="24"/>
        </w:rPr>
        <w:t xml:space="preserve">at </w:t>
      </w:r>
      <w:r w:rsidRPr="00AB3DE7">
        <w:rPr>
          <w:rFonts w:ascii="Arial" w:hAnsi="Arial" w:cs="Arial"/>
          <w:spacing w:val="-4"/>
          <w:sz w:val="24"/>
          <w:szCs w:val="24"/>
        </w:rPr>
        <w:t>all</w:t>
      </w:r>
      <w:r w:rsidRPr="00AB3DE7">
        <w:rPr>
          <w:rFonts w:ascii="Arial" w:hAnsi="Arial" w:cs="Arial"/>
          <w:spacing w:val="3"/>
          <w:sz w:val="24"/>
          <w:szCs w:val="24"/>
        </w:rPr>
        <w:t xml:space="preserve"> </w:t>
      </w:r>
      <w:r w:rsidRPr="00AB3DE7">
        <w:rPr>
          <w:rFonts w:ascii="Arial" w:hAnsi="Arial" w:cs="Arial"/>
          <w:spacing w:val="-6"/>
          <w:sz w:val="24"/>
          <w:szCs w:val="24"/>
        </w:rPr>
        <w:t>levels</w:t>
      </w:r>
    </w:p>
    <w:p w:rsidR="00DC2EB9" w:rsidRPr="00AB3DE7" w:rsidRDefault="00DC2EB9" w:rsidP="00DC2EB9">
      <w:pPr>
        <w:pStyle w:val="ListParagraph"/>
        <w:widowControl w:val="0"/>
        <w:numPr>
          <w:ilvl w:val="1"/>
          <w:numId w:val="7"/>
        </w:numPr>
        <w:tabs>
          <w:tab w:val="left" w:pos="827"/>
        </w:tabs>
        <w:spacing w:before="14" w:after="0"/>
        <w:ind w:right="754"/>
        <w:contextualSpacing w:val="0"/>
        <w:rPr>
          <w:rFonts w:ascii="Arial" w:hAnsi="Arial" w:cs="Arial"/>
          <w:sz w:val="24"/>
          <w:szCs w:val="24"/>
        </w:rPr>
      </w:pPr>
      <w:r w:rsidRPr="00AB3DE7">
        <w:rPr>
          <w:rFonts w:ascii="Arial" w:hAnsi="Arial" w:cs="Arial"/>
          <w:spacing w:val="-3"/>
          <w:sz w:val="24"/>
          <w:szCs w:val="24"/>
        </w:rPr>
        <w:t xml:space="preserve">3.3 </w:t>
      </w:r>
      <w:r w:rsidRPr="00AB3DE7">
        <w:rPr>
          <w:rFonts w:ascii="Arial" w:hAnsi="Arial" w:cs="Arial"/>
          <w:sz w:val="24"/>
          <w:szCs w:val="24"/>
        </w:rPr>
        <w:t xml:space="preserve">– </w:t>
      </w:r>
      <w:r w:rsidRPr="00AB3DE7">
        <w:rPr>
          <w:rFonts w:ascii="Arial" w:hAnsi="Arial" w:cs="Arial"/>
          <w:spacing w:val="-5"/>
          <w:sz w:val="24"/>
          <w:szCs w:val="24"/>
        </w:rPr>
        <w:t xml:space="preserve">Training </w:t>
      </w:r>
      <w:r w:rsidRPr="00AB3DE7">
        <w:rPr>
          <w:rFonts w:ascii="Arial" w:hAnsi="Arial" w:cs="Arial"/>
          <w:spacing w:val="-4"/>
          <w:sz w:val="24"/>
          <w:szCs w:val="24"/>
        </w:rPr>
        <w:t xml:space="preserve">and </w:t>
      </w:r>
      <w:r w:rsidRPr="00AB3DE7">
        <w:rPr>
          <w:rFonts w:ascii="Arial" w:hAnsi="Arial" w:cs="Arial"/>
          <w:spacing w:val="-5"/>
          <w:sz w:val="24"/>
          <w:szCs w:val="24"/>
        </w:rPr>
        <w:t xml:space="preserve">development opportunities </w:t>
      </w:r>
      <w:r w:rsidRPr="00AB3DE7">
        <w:rPr>
          <w:rFonts w:ascii="Arial" w:hAnsi="Arial" w:cs="Arial"/>
          <w:sz w:val="24"/>
          <w:szCs w:val="24"/>
        </w:rPr>
        <w:t xml:space="preserve">are </w:t>
      </w:r>
      <w:r w:rsidRPr="00AB3DE7">
        <w:rPr>
          <w:rFonts w:ascii="Arial" w:hAnsi="Arial" w:cs="Arial"/>
          <w:spacing w:val="-5"/>
          <w:sz w:val="24"/>
          <w:szCs w:val="24"/>
        </w:rPr>
        <w:t xml:space="preserve">taken </w:t>
      </w:r>
      <w:r w:rsidRPr="00AB3DE7">
        <w:rPr>
          <w:rFonts w:ascii="Arial" w:hAnsi="Arial" w:cs="Arial"/>
          <w:spacing w:val="-3"/>
          <w:sz w:val="24"/>
          <w:szCs w:val="24"/>
        </w:rPr>
        <w:t xml:space="preserve">up </w:t>
      </w:r>
      <w:r w:rsidRPr="00AB3DE7">
        <w:rPr>
          <w:rFonts w:ascii="Arial" w:hAnsi="Arial" w:cs="Arial"/>
          <w:spacing w:val="-4"/>
          <w:sz w:val="24"/>
          <w:szCs w:val="24"/>
        </w:rPr>
        <w:t xml:space="preserve">and positively </w:t>
      </w:r>
      <w:r w:rsidRPr="00AB3DE7">
        <w:rPr>
          <w:rFonts w:ascii="Arial" w:hAnsi="Arial" w:cs="Arial"/>
          <w:spacing w:val="-6"/>
          <w:sz w:val="24"/>
          <w:szCs w:val="24"/>
        </w:rPr>
        <w:t xml:space="preserve">evaluated  </w:t>
      </w:r>
      <w:r w:rsidRPr="00AB3DE7">
        <w:rPr>
          <w:rFonts w:ascii="Arial" w:hAnsi="Arial" w:cs="Arial"/>
          <w:spacing w:val="-3"/>
          <w:sz w:val="24"/>
          <w:szCs w:val="24"/>
        </w:rPr>
        <w:t xml:space="preserve">by </w:t>
      </w:r>
      <w:r w:rsidRPr="00AB3DE7">
        <w:rPr>
          <w:rFonts w:ascii="Arial" w:hAnsi="Arial" w:cs="Arial"/>
          <w:spacing w:val="-4"/>
          <w:sz w:val="24"/>
          <w:szCs w:val="24"/>
        </w:rPr>
        <w:t>all</w:t>
      </w:r>
      <w:r w:rsidRPr="00AB3DE7">
        <w:rPr>
          <w:rFonts w:ascii="Arial" w:hAnsi="Arial" w:cs="Arial"/>
          <w:sz w:val="24"/>
          <w:szCs w:val="24"/>
        </w:rPr>
        <w:t xml:space="preserve"> staff</w:t>
      </w:r>
    </w:p>
    <w:p w:rsidR="00DC2EB9" w:rsidRPr="00AB3DE7" w:rsidRDefault="00DC2EB9" w:rsidP="00DC2EB9">
      <w:pPr>
        <w:pStyle w:val="ListParagraph"/>
        <w:widowControl w:val="0"/>
        <w:numPr>
          <w:ilvl w:val="1"/>
          <w:numId w:val="7"/>
        </w:numPr>
        <w:tabs>
          <w:tab w:val="left" w:pos="827"/>
        </w:tabs>
        <w:spacing w:before="14" w:after="0"/>
        <w:ind w:right="850"/>
        <w:contextualSpacing w:val="0"/>
        <w:rPr>
          <w:rFonts w:ascii="Arial" w:hAnsi="Arial" w:cs="Arial"/>
          <w:sz w:val="24"/>
          <w:szCs w:val="24"/>
        </w:rPr>
      </w:pPr>
      <w:r w:rsidRPr="00AB3DE7">
        <w:rPr>
          <w:rFonts w:ascii="Arial" w:hAnsi="Arial" w:cs="Arial"/>
          <w:spacing w:val="-3"/>
          <w:sz w:val="24"/>
          <w:szCs w:val="24"/>
        </w:rPr>
        <w:t xml:space="preserve">3.4 </w:t>
      </w:r>
      <w:r w:rsidRPr="00AB3DE7">
        <w:rPr>
          <w:rFonts w:ascii="Arial" w:hAnsi="Arial" w:cs="Arial"/>
          <w:sz w:val="24"/>
          <w:szCs w:val="24"/>
        </w:rPr>
        <w:t xml:space="preserve">– When </w:t>
      </w:r>
      <w:r w:rsidRPr="00AB3DE7">
        <w:rPr>
          <w:rFonts w:ascii="Arial" w:hAnsi="Arial" w:cs="Arial"/>
          <w:spacing w:val="-3"/>
          <w:sz w:val="24"/>
          <w:szCs w:val="24"/>
        </w:rPr>
        <w:t xml:space="preserve">at work, </w:t>
      </w:r>
      <w:r w:rsidRPr="00AB3DE7">
        <w:rPr>
          <w:rFonts w:ascii="Arial" w:hAnsi="Arial" w:cs="Arial"/>
          <w:sz w:val="24"/>
          <w:szCs w:val="24"/>
        </w:rPr>
        <w:t xml:space="preserve">staff are </w:t>
      </w:r>
      <w:r w:rsidRPr="00AB3DE7">
        <w:rPr>
          <w:rFonts w:ascii="Arial" w:hAnsi="Arial" w:cs="Arial"/>
          <w:spacing w:val="-3"/>
          <w:sz w:val="24"/>
          <w:szCs w:val="24"/>
        </w:rPr>
        <w:t xml:space="preserve">free from abuse, </w:t>
      </w:r>
      <w:r w:rsidRPr="00AB3DE7">
        <w:rPr>
          <w:rFonts w:ascii="Arial" w:hAnsi="Arial" w:cs="Arial"/>
          <w:sz w:val="24"/>
          <w:szCs w:val="24"/>
        </w:rPr>
        <w:t xml:space="preserve">harassment, </w:t>
      </w:r>
      <w:r w:rsidRPr="00AB3DE7">
        <w:rPr>
          <w:rFonts w:ascii="Arial" w:hAnsi="Arial" w:cs="Arial"/>
          <w:spacing w:val="-6"/>
          <w:sz w:val="24"/>
          <w:szCs w:val="24"/>
        </w:rPr>
        <w:t xml:space="preserve">bullying </w:t>
      </w:r>
      <w:r w:rsidRPr="00AB3DE7">
        <w:rPr>
          <w:rFonts w:ascii="Arial" w:hAnsi="Arial" w:cs="Arial"/>
          <w:spacing w:val="-4"/>
          <w:sz w:val="24"/>
          <w:szCs w:val="24"/>
        </w:rPr>
        <w:t xml:space="preserve">and violence </w:t>
      </w:r>
      <w:r w:rsidRPr="00AB3DE7">
        <w:rPr>
          <w:rFonts w:ascii="Arial" w:hAnsi="Arial" w:cs="Arial"/>
          <w:spacing w:val="-3"/>
          <w:sz w:val="24"/>
          <w:szCs w:val="24"/>
        </w:rPr>
        <w:t xml:space="preserve">from </w:t>
      </w:r>
      <w:r w:rsidRPr="00AB3DE7">
        <w:rPr>
          <w:rFonts w:ascii="Arial" w:hAnsi="Arial" w:cs="Arial"/>
          <w:spacing w:val="-4"/>
          <w:sz w:val="24"/>
          <w:szCs w:val="24"/>
        </w:rPr>
        <w:t xml:space="preserve">any </w:t>
      </w:r>
      <w:r w:rsidRPr="00AB3DE7">
        <w:rPr>
          <w:rFonts w:ascii="Arial" w:hAnsi="Arial" w:cs="Arial"/>
          <w:spacing w:val="-2"/>
          <w:sz w:val="24"/>
          <w:szCs w:val="24"/>
        </w:rPr>
        <w:t xml:space="preserve"> </w:t>
      </w:r>
      <w:r w:rsidRPr="00AB3DE7">
        <w:rPr>
          <w:rFonts w:ascii="Arial" w:hAnsi="Arial" w:cs="Arial"/>
          <w:sz w:val="24"/>
          <w:szCs w:val="24"/>
        </w:rPr>
        <w:t>source</w:t>
      </w:r>
    </w:p>
    <w:p w:rsidR="00DC2EB9" w:rsidRPr="00AB3DE7" w:rsidRDefault="00DC2EB9" w:rsidP="00DC2EB9">
      <w:pPr>
        <w:pStyle w:val="ListParagraph"/>
        <w:widowControl w:val="0"/>
        <w:numPr>
          <w:ilvl w:val="1"/>
          <w:numId w:val="7"/>
        </w:numPr>
        <w:tabs>
          <w:tab w:val="left" w:pos="827"/>
        </w:tabs>
        <w:spacing w:before="14" w:after="0"/>
        <w:contextualSpacing w:val="0"/>
        <w:rPr>
          <w:rFonts w:ascii="Arial" w:hAnsi="Arial" w:cs="Arial"/>
          <w:sz w:val="24"/>
          <w:szCs w:val="24"/>
        </w:rPr>
      </w:pPr>
      <w:r w:rsidRPr="00AB3DE7">
        <w:rPr>
          <w:rFonts w:ascii="Arial" w:hAnsi="Arial" w:cs="Arial"/>
          <w:spacing w:val="-3"/>
          <w:sz w:val="24"/>
          <w:szCs w:val="24"/>
        </w:rPr>
        <w:t xml:space="preserve">3.6 </w:t>
      </w:r>
      <w:r w:rsidRPr="00AB3DE7">
        <w:rPr>
          <w:rFonts w:ascii="Arial" w:hAnsi="Arial" w:cs="Arial"/>
          <w:sz w:val="24"/>
          <w:szCs w:val="24"/>
        </w:rPr>
        <w:t xml:space="preserve">– </w:t>
      </w:r>
      <w:r w:rsidRPr="00AB3DE7">
        <w:rPr>
          <w:rFonts w:ascii="Arial" w:hAnsi="Arial" w:cs="Arial"/>
          <w:spacing w:val="-3"/>
          <w:sz w:val="24"/>
          <w:szCs w:val="24"/>
        </w:rPr>
        <w:t xml:space="preserve">Staff report </w:t>
      </w:r>
      <w:r w:rsidRPr="00AB3DE7">
        <w:rPr>
          <w:rFonts w:ascii="Arial" w:hAnsi="Arial" w:cs="Arial"/>
          <w:spacing w:val="-4"/>
          <w:sz w:val="24"/>
          <w:szCs w:val="24"/>
        </w:rPr>
        <w:t xml:space="preserve">positive experience </w:t>
      </w:r>
      <w:r w:rsidRPr="00AB3DE7">
        <w:rPr>
          <w:rFonts w:ascii="Arial" w:hAnsi="Arial" w:cs="Arial"/>
          <w:spacing w:val="-3"/>
          <w:sz w:val="24"/>
          <w:szCs w:val="24"/>
        </w:rPr>
        <w:t xml:space="preserve">of </w:t>
      </w:r>
      <w:r w:rsidRPr="00AB3DE7">
        <w:rPr>
          <w:rFonts w:ascii="Arial" w:hAnsi="Arial" w:cs="Arial"/>
          <w:spacing w:val="-5"/>
          <w:sz w:val="24"/>
          <w:szCs w:val="24"/>
        </w:rPr>
        <w:t xml:space="preserve">their </w:t>
      </w:r>
      <w:r w:rsidRPr="00AB3DE7">
        <w:rPr>
          <w:rFonts w:ascii="Arial" w:hAnsi="Arial" w:cs="Arial"/>
          <w:sz w:val="24"/>
          <w:szCs w:val="24"/>
        </w:rPr>
        <w:t xml:space="preserve">membership </w:t>
      </w:r>
      <w:r w:rsidRPr="00AB3DE7">
        <w:rPr>
          <w:rFonts w:ascii="Arial" w:hAnsi="Arial" w:cs="Arial"/>
          <w:spacing w:val="-3"/>
          <w:sz w:val="24"/>
          <w:szCs w:val="24"/>
        </w:rPr>
        <w:t xml:space="preserve">of the  </w:t>
      </w:r>
      <w:r w:rsidRPr="00AB3DE7">
        <w:rPr>
          <w:rFonts w:ascii="Arial" w:hAnsi="Arial" w:cs="Arial"/>
          <w:spacing w:val="20"/>
          <w:sz w:val="24"/>
          <w:szCs w:val="24"/>
        </w:rPr>
        <w:t xml:space="preserve"> </w:t>
      </w:r>
      <w:r w:rsidRPr="00AB3DE7">
        <w:rPr>
          <w:rFonts w:ascii="Arial" w:hAnsi="Arial" w:cs="Arial"/>
          <w:sz w:val="24"/>
          <w:szCs w:val="24"/>
        </w:rPr>
        <w:t>workforce</w:t>
      </w:r>
    </w:p>
    <w:p w:rsidR="00DC2EB9" w:rsidRPr="00AB3DE7" w:rsidRDefault="00DC2EB9" w:rsidP="00DC2EB9">
      <w:pPr>
        <w:pStyle w:val="BodyText"/>
        <w:spacing w:line="276" w:lineRule="auto"/>
        <w:rPr>
          <w:rFonts w:ascii="Arial" w:hAnsi="Arial" w:cs="Arial"/>
        </w:rPr>
      </w:pPr>
    </w:p>
    <w:p w:rsidR="00DC2EB9" w:rsidRPr="00AB3DE7" w:rsidRDefault="00DC2EB9" w:rsidP="00DC2EB9">
      <w:pPr>
        <w:pStyle w:val="Heading3"/>
        <w:rPr>
          <w:rFonts w:ascii="Arial" w:hAnsi="Arial" w:cs="Arial"/>
          <w:b w:val="0"/>
          <w:color w:val="auto"/>
          <w:sz w:val="24"/>
          <w:szCs w:val="24"/>
        </w:rPr>
      </w:pPr>
      <w:r w:rsidRPr="00AB3DE7">
        <w:rPr>
          <w:rFonts w:ascii="Arial" w:hAnsi="Arial" w:cs="Arial"/>
          <w:color w:val="auto"/>
          <w:sz w:val="24"/>
          <w:szCs w:val="24"/>
        </w:rPr>
        <w:t>Goal 4: Inclusive leadership – notably EDS2 outcomes</w:t>
      </w:r>
      <w:r w:rsidRPr="00AB3DE7">
        <w:rPr>
          <w:rFonts w:ascii="Arial" w:hAnsi="Arial" w:cs="Arial"/>
          <w:b w:val="0"/>
          <w:color w:val="auto"/>
          <w:sz w:val="24"/>
          <w:szCs w:val="24"/>
        </w:rPr>
        <w:t>:</w:t>
      </w:r>
    </w:p>
    <w:p w:rsidR="00DC2EB9" w:rsidRPr="00AB3DE7" w:rsidRDefault="00DC2EB9" w:rsidP="00DC2EB9">
      <w:pPr>
        <w:pStyle w:val="ListParagraph"/>
        <w:widowControl w:val="0"/>
        <w:numPr>
          <w:ilvl w:val="1"/>
          <w:numId w:val="7"/>
        </w:numPr>
        <w:tabs>
          <w:tab w:val="left" w:pos="827"/>
        </w:tabs>
        <w:spacing w:before="156" w:after="0"/>
        <w:ind w:right="507"/>
        <w:contextualSpacing w:val="0"/>
        <w:rPr>
          <w:rFonts w:ascii="Arial" w:hAnsi="Arial" w:cs="Arial"/>
          <w:sz w:val="24"/>
          <w:szCs w:val="24"/>
        </w:rPr>
      </w:pPr>
      <w:r w:rsidRPr="00AB3DE7">
        <w:rPr>
          <w:rFonts w:ascii="Arial" w:hAnsi="Arial" w:cs="Arial"/>
          <w:spacing w:val="-3"/>
          <w:sz w:val="24"/>
          <w:szCs w:val="24"/>
        </w:rPr>
        <w:t xml:space="preserve">4.1 </w:t>
      </w:r>
      <w:r w:rsidRPr="00AB3DE7">
        <w:rPr>
          <w:rFonts w:ascii="Arial" w:hAnsi="Arial" w:cs="Arial"/>
          <w:sz w:val="24"/>
          <w:szCs w:val="24"/>
        </w:rPr>
        <w:t xml:space="preserve">– </w:t>
      </w:r>
      <w:r w:rsidRPr="00AB3DE7">
        <w:rPr>
          <w:rFonts w:ascii="Arial" w:hAnsi="Arial" w:cs="Arial"/>
          <w:spacing w:val="-3"/>
          <w:sz w:val="24"/>
          <w:szCs w:val="24"/>
        </w:rPr>
        <w:t xml:space="preserve">Boards </w:t>
      </w:r>
      <w:r w:rsidRPr="00AB3DE7">
        <w:rPr>
          <w:rFonts w:ascii="Arial" w:hAnsi="Arial" w:cs="Arial"/>
          <w:spacing w:val="-4"/>
          <w:sz w:val="24"/>
          <w:szCs w:val="24"/>
        </w:rPr>
        <w:t xml:space="preserve">and </w:t>
      </w:r>
      <w:r w:rsidRPr="00AB3DE7">
        <w:rPr>
          <w:rFonts w:ascii="Arial" w:hAnsi="Arial" w:cs="Arial"/>
          <w:spacing w:val="-3"/>
          <w:sz w:val="24"/>
          <w:szCs w:val="24"/>
        </w:rPr>
        <w:t xml:space="preserve">senior </w:t>
      </w:r>
      <w:r w:rsidRPr="00AB3DE7">
        <w:rPr>
          <w:rFonts w:ascii="Arial" w:hAnsi="Arial" w:cs="Arial"/>
          <w:spacing w:val="-5"/>
          <w:sz w:val="24"/>
          <w:szCs w:val="24"/>
        </w:rPr>
        <w:t xml:space="preserve">leaders routinely </w:t>
      </w:r>
      <w:r w:rsidRPr="00AB3DE7">
        <w:rPr>
          <w:rFonts w:ascii="Arial" w:hAnsi="Arial" w:cs="Arial"/>
          <w:sz w:val="24"/>
          <w:szCs w:val="24"/>
        </w:rPr>
        <w:t xml:space="preserve">demonstrate </w:t>
      </w:r>
      <w:r w:rsidRPr="00AB3DE7">
        <w:rPr>
          <w:rFonts w:ascii="Arial" w:hAnsi="Arial" w:cs="Arial"/>
          <w:spacing w:val="-5"/>
          <w:sz w:val="24"/>
          <w:szCs w:val="24"/>
        </w:rPr>
        <w:t xml:space="preserve">their </w:t>
      </w:r>
      <w:r w:rsidRPr="00AB3DE7">
        <w:rPr>
          <w:rFonts w:ascii="Arial" w:hAnsi="Arial" w:cs="Arial"/>
          <w:sz w:val="24"/>
          <w:szCs w:val="24"/>
        </w:rPr>
        <w:t xml:space="preserve">commitment to </w:t>
      </w:r>
      <w:r w:rsidRPr="00AB3DE7">
        <w:rPr>
          <w:rFonts w:ascii="Arial" w:hAnsi="Arial" w:cs="Arial"/>
          <w:spacing w:val="-3"/>
          <w:sz w:val="24"/>
          <w:szCs w:val="24"/>
        </w:rPr>
        <w:t xml:space="preserve">promoting </w:t>
      </w:r>
      <w:r w:rsidRPr="00AB3DE7">
        <w:rPr>
          <w:rFonts w:ascii="Arial" w:hAnsi="Arial" w:cs="Arial"/>
          <w:spacing w:val="-5"/>
          <w:sz w:val="24"/>
          <w:szCs w:val="24"/>
        </w:rPr>
        <w:t xml:space="preserve">equality  </w:t>
      </w:r>
      <w:r w:rsidRPr="00AB3DE7">
        <w:rPr>
          <w:rFonts w:ascii="Arial" w:hAnsi="Arial" w:cs="Arial"/>
          <w:spacing w:val="-4"/>
          <w:sz w:val="24"/>
          <w:szCs w:val="24"/>
        </w:rPr>
        <w:t xml:space="preserve">within and </w:t>
      </w:r>
      <w:r w:rsidRPr="00AB3DE7">
        <w:rPr>
          <w:rFonts w:ascii="Arial" w:hAnsi="Arial" w:cs="Arial"/>
          <w:spacing w:val="-6"/>
          <w:sz w:val="24"/>
          <w:szCs w:val="24"/>
        </w:rPr>
        <w:t xml:space="preserve">beyond  </w:t>
      </w:r>
      <w:r w:rsidRPr="00AB3DE7">
        <w:rPr>
          <w:rFonts w:ascii="Arial" w:hAnsi="Arial" w:cs="Arial"/>
          <w:spacing w:val="-5"/>
          <w:sz w:val="24"/>
          <w:szCs w:val="24"/>
        </w:rPr>
        <w:t>their</w:t>
      </w:r>
      <w:r w:rsidRPr="00AB3DE7">
        <w:rPr>
          <w:rFonts w:ascii="Arial" w:hAnsi="Arial" w:cs="Arial"/>
          <w:spacing w:val="41"/>
          <w:sz w:val="24"/>
          <w:szCs w:val="24"/>
        </w:rPr>
        <w:t xml:space="preserve"> </w:t>
      </w:r>
      <w:r w:rsidRPr="00AB3DE7">
        <w:rPr>
          <w:rFonts w:ascii="Arial" w:hAnsi="Arial" w:cs="Arial"/>
          <w:spacing w:val="-4"/>
          <w:sz w:val="24"/>
          <w:szCs w:val="24"/>
        </w:rPr>
        <w:t>organisations</w:t>
      </w:r>
    </w:p>
    <w:p w:rsidR="00DC2EB9" w:rsidRPr="00AB3DE7" w:rsidRDefault="00DC2EB9" w:rsidP="00DC2EB9">
      <w:pPr>
        <w:pStyle w:val="ListParagraph"/>
        <w:widowControl w:val="0"/>
        <w:numPr>
          <w:ilvl w:val="1"/>
          <w:numId w:val="7"/>
        </w:numPr>
        <w:tabs>
          <w:tab w:val="left" w:pos="827"/>
        </w:tabs>
        <w:spacing w:before="14" w:after="0"/>
        <w:ind w:right="325"/>
        <w:contextualSpacing w:val="0"/>
        <w:rPr>
          <w:rFonts w:ascii="Arial" w:hAnsi="Arial" w:cs="Arial"/>
          <w:sz w:val="24"/>
          <w:szCs w:val="24"/>
        </w:rPr>
      </w:pPr>
      <w:r w:rsidRPr="00AB3DE7">
        <w:rPr>
          <w:rFonts w:ascii="Arial" w:hAnsi="Arial" w:cs="Arial"/>
          <w:spacing w:val="-3"/>
          <w:sz w:val="24"/>
          <w:szCs w:val="24"/>
        </w:rPr>
        <w:t xml:space="preserve">4.3 </w:t>
      </w:r>
      <w:r w:rsidRPr="00AB3DE7">
        <w:rPr>
          <w:rFonts w:ascii="Arial" w:hAnsi="Arial" w:cs="Arial"/>
          <w:sz w:val="24"/>
          <w:szCs w:val="24"/>
        </w:rPr>
        <w:t xml:space="preserve">– </w:t>
      </w:r>
      <w:r w:rsidRPr="00AB3DE7">
        <w:rPr>
          <w:rFonts w:ascii="Arial" w:hAnsi="Arial" w:cs="Arial"/>
          <w:spacing w:val="-8"/>
          <w:sz w:val="24"/>
          <w:szCs w:val="24"/>
        </w:rPr>
        <w:t xml:space="preserve">Middle </w:t>
      </w:r>
      <w:r w:rsidRPr="00AB3DE7">
        <w:rPr>
          <w:rFonts w:ascii="Arial" w:hAnsi="Arial" w:cs="Arial"/>
          <w:spacing w:val="-3"/>
          <w:sz w:val="24"/>
          <w:szCs w:val="24"/>
        </w:rPr>
        <w:t xml:space="preserve">managers </w:t>
      </w:r>
      <w:r w:rsidRPr="00AB3DE7">
        <w:rPr>
          <w:rFonts w:ascii="Arial" w:hAnsi="Arial" w:cs="Arial"/>
          <w:spacing w:val="-4"/>
          <w:sz w:val="24"/>
          <w:szCs w:val="24"/>
        </w:rPr>
        <w:t xml:space="preserve">and </w:t>
      </w:r>
      <w:r w:rsidRPr="00AB3DE7">
        <w:rPr>
          <w:rFonts w:ascii="Arial" w:hAnsi="Arial" w:cs="Arial"/>
          <w:spacing w:val="-5"/>
          <w:sz w:val="24"/>
          <w:szCs w:val="24"/>
        </w:rPr>
        <w:t xml:space="preserve">other line </w:t>
      </w:r>
      <w:r w:rsidRPr="00AB3DE7">
        <w:rPr>
          <w:rFonts w:ascii="Arial" w:hAnsi="Arial" w:cs="Arial"/>
          <w:spacing w:val="-3"/>
          <w:sz w:val="24"/>
          <w:szCs w:val="24"/>
        </w:rPr>
        <w:t xml:space="preserve">managers support </w:t>
      </w:r>
      <w:r w:rsidRPr="00AB3DE7">
        <w:rPr>
          <w:rFonts w:ascii="Arial" w:hAnsi="Arial" w:cs="Arial"/>
          <w:spacing w:val="-5"/>
          <w:sz w:val="24"/>
          <w:szCs w:val="24"/>
        </w:rPr>
        <w:t xml:space="preserve">their </w:t>
      </w:r>
      <w:r w:rsidRPr="00AB3DE7">
        <w:rPr>
          <w:rFonts w:ascii="Arial" w:hAnsi="Arial" w:cs="Arial"/>
          <w:sz w:val="24"/>
          <w:szCs w:val="24"/>
        </w:rPr>
        <w:t xml:space="preserve">staff to work </w:t>
      </w:r>
      <w:r w:rsidRPr="00AB3DE7">
        <w:rPr>
          <w:rFonts w:ascii="Arial" w:hAnsi="Arial" w:cs="Arial"/>
          <w:spacing w:val="-3"/>
          <w:sz w:val="24"/>
          <w:szCs w:val="24"/>
        </w:rPr>
        <w:t xml:space="preserve">in </w:t>
      </w:r>
      <w:r w:rsidRPr="00AB3DE7">
        <w:rPr>
          <w:rFonts w:ascii="Arial" w:hAnsi="Arial" w:cs="Arial"/>
          <w:spacing w:val="-4"/>
          <w:sz w:val="24"/>
          <w:szCs w:val="24"/>
        </w:rPr>
        <w:t xml:space="preserve">culturally </w:t>
      </w:r>
      <w:r w:rsidRPr="00AB3DE7">
        <w:rPr>
          <w:rFonts w:ascii="Arial" w:hAnsi="Arial" w:cs="Arial"/>
          <w:sz w:val="24"/>
          <w:szCs w:val="24"/>
        </w:rPr>
        <w:t xml:space="preserve">competent </w:t>
      </w:r>
      <w:r w:rsidRPr="00AB3DE7">
        <w:rPr>
          <w:rFonts w:ascii="Arial" w:hAnsi="Arial" w:cs="Arial"/>
          <w:spacing w:val="-3"/>
          <w:sz w:val="24"/>
          <w:szCs w:val="24"/>
        </w:rPr>
        <w:t xml:space="preserve">ways </w:t>
      </w:r>
      <w:r w:rsidRPr="00AB3DE7">
        <w:rPr>
          <w:rFonts w:ascii="Arial" w:hAnsi="Arial" w:cs="Arial"/>
          <w:spacing w:val="-4"/>
          <w:sz w:val="24"/>
          <w:szCs w:val="24"/>
        </w:rPr>
        <w:t xml:space="preserve">within </w:t>
      </w:r>
      <w:r w:rsidRPr="00AB3DE7">
        <w:rPr>
          <w:rFonts w:ascii="Arial" w:hAnsi="Arial" w:cs="Arial"/>
          <w:sz w:val="24"/>
          <w:szCs w:val="24"/>
        </w:rPr>
        <w:t xml:space="preserve">a work </w:t>
      </w:r>
      <w:r w:rsidRPr="00AB3DE7">
        <w:rPr>
          <w:rFonts w:ascii="Arial" w:hAnsi="Arial" w:cs="Arial"/>
          <w:spacing w:val="-4"/>
          <w:sz w:val="24"/>
          <w:szCs w:val="24"/>
        </w:rPr>
        <w:t xml:space="preserve">environment  </w:t>
      </w:r>
      <w:r w:rsidRPr="00AB3DE7">
        <w:rPr>
          <w:rFonts w:ascii="Arial" w:hAnsi="Arial" w:cs="Arial"/>
          <w:spacing w:val="-3"/>
          <w:sz w:val="24"/>
          <w:szCs w:val="24"/>
        </w:rPr>
        <w:t xml:space="preserve">free from </w:t>
      </w:r>
      <w:r w:rsidRPr="00AB3DE7">
        <w:rPr>
          <w:rFonts w:ascii="Arial" w:hAnsi="Arial" w:cs="Arial"/>
          <w:spacing w:val="27"/>
          <w:sz w:val="24"/>
          <w:szCs w:val="24"/>
        </w:rPr>
        <w:t xml:space="preserve"> </w:t>
      </w:r>
      <w:r w:rsidRPr="00AB3DE7">
        <w:rPr>
          <w:rFonts w:ascii="Arial" w:hAnsi="Arial" w:cs="Arial"/>
          <w:spacing w:val="-3"/>
          <w:sz w:val="24"/>
          <w:szCs w:val="24"/>
        </w:rPr>
        <w:t>discrimination</w:t>
      </w:r>
    </w:p>
    <w:p w:rsidR="00CF292C" w:rsidRPr="00AB3DE7" w:rsidRDefault="00CF292C" w:rsidP="00DC2EB9">
      <w:pPr>
        <w:rPr>
          <w:rFonts w:ascii="Arial" w:hAnsi="Arial" w:cs="Arial"/>
          <w:sz w:val="24"/>
          <w:szCs w:val="24"/>
        </w:rPr>
      </w:pPr>
    </w:p>
    <w:p w:rsidR="00DC2EB9" w:rsidRPr="00AB3DE7" w:rsidRDefault="00CF292C" w:rsidP="00CF292C">
      <w:pPr>
        <w:pStyle w:val="BodyText"/>
        <w:spacing w:before="189" w:after="240" w:line="276" w:lineRule="auto"/>
        <w:ind w:right="-13"/>
        <w:rPr>
          <w:rFonts w:ascii="Arial" w:hAnsi="Arial" w:cs="Arial"/>
        </w:rPr>
      </w:pPr>
      <w:r w:rsidRPr="00AB3DE7">
        <w:rPr>
          <w:rFonts w:ascii="Arial" w:hAnsi="Arial" w:cs="Arial"/>
          <w:b/>
          <w:w w:val="105"/>
        </w:rPr>
        <w:t xml:space="preserve">The Trusts WRES Reports and Action Plans </w:t>
      </w:r>
      <w:r w:rsidRPr="00AB3DE7">
        <w:rPr>
          <w:rFonts w:ascii="Arial" w:hAnsi="Arial" w:cs="Arial"/>
          <w:w w:val="105"/>
        </w:rPr>
        <w:t xml:space="preserve">can be found on the Trust’s website under </w:t>
      </w:r>
      <w:r w:rsidR="00F22D89" w:rsidRPr="00AB3DE7">
        <w:rPr>
          <w:rFonts w:ascii="Arial" w:hAnsi="Arial" w:cs="Arial"/>
          <w:w w:val="105"/>
        </w:rPr>
        <w:t>–</w:t>
      </w:r>
      <w:r w:rsidRPr="00AB3DE7">
        <w:rPr>
          <w:rFonts w:ascii="Arial" w:hAnsi="Arial" w:cs="Arial"/>
          <w:w w:val="105"/>
        </w:rPr>
        <w:t xml:space="preserve"> </w:t>
      </w:r>
      <w:r w:rsidR="00F22D89" w:rsidRPr="00AB3DE7">
        <w:rPr>
          <w:rFonts w:ascii="Arial" w:hAnsi="Arial" w:cs="Arial"/>
          <w:w w:val="105"/>
        </w:rPr>
        <w:t xml:space="preserve">Corporate - </w:t>
      </w:r>
      <w:r w:rsidRPr="00AB3DE7">
        <w:rPr>
          <w:rFonts w:ascii="Arial" w:hAnsi="Arial" w:cs="Arial"/>
          <w:w w:val="105"/>
        </w:rPr>
        <w:t xml:space="preserve">Equality and Diversity </w:t>
      </w:r>
      <w:r w:rsidR="00F22D89" w:rsidRPr="00AB3DE7">
        <w:rPr>
          <w:rFonts w:ascii="Arial" w:hAnsi="Arial" w:cs="Arial"/>
          <w:w w:val="105"/>
        </w:rPr>
        <w:t xml:space="preserve">- </w:t>
      </w:r>
      <w:r w:rsidRPr="00AB3DE7">
        <w:rPr>
          <w:rFonts w:ascii="Arial" w:hAnsi="Arial" w:cs="Arial"/>
          <w:w w:val="105"/>
        </w:rPr>
        <w:t xml:space="preserve">Annual Reports. </w:t>
      </w:r>
    </w:p>
    <w:sectPr w:rsidR="00DC2EB9" w:rsidRPr="00AB3DE7" w:rsidSect="007B25C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C5E" w:rsidRDefault="00166C5E" w:rsidP="00CF292C">
      <w:pPr>
        <w:spacing w:after="0" w:line="240" w:lineRule="auto"/>
      </w:pPr>
      <w:r>
        <w:separator/>
      </w:r>
    </w:p>
  </w:endnote>
  <w:endnote w:type="continuationSeparator" w:id="0">
    <w:p w:rsidR="00166C5E" w:rsidRDefault="00166C5E" w:rsidP="00CF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557219"/>
      <w:docPartObj>
        <w:docPartGallery w:val="Page Numbers (Bottom of Page)"/>
        <w:docPartUnique/>
      </w:docPartObj>
    </w:sdtPr>
    <w:sdtEndPr/>
    <w:sdtContent>
      <w:p w:rsidR="00CF292C" w:rsidRDefault="00D055D7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3D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92C" w:rsidRDefault="00CF2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C5E" w:rsidRDefault="00166C5E" w:rsidP="00CF292C">
      <w:pPr>
        <w:spacing w:after="0" w:line="240" w:lineRule="auto"/>
      </w:pPr>
      <w:r>
        <w:separator/>
      </w:r>
    </w:p>
  </w:footnote>
  <w:footnote w:type="continuationSeparator" w:id="0">
    <w:p w:rsidR="00166C5E" w:rsidRDefault="00166C5E" w:rsidP="00CF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2C" w:rsidRDefault="00CF292C" w:rsidP="00CF292C">
    <w:pPr>
      <w:pStyle w:val="Header"/>
      <w:jc w:val="right"/>
    </w:pPr>
    <w:r>
      <w:t>EDHR STRATEGY A</w:t>
    </w:r>
    <w:r w:rsidR="00D055D7">
      <w:t>ppendix 3</w:t>
    </w:r>
    <w:r>
      <w:t xml:space="preserve"> – </w:t>
    </w:r>
    <w:r w:rsidR="00D055D7">
      <w:t xml:space="preserve">About the Workforce Race Equality Standard – Revised </w:t>
    </w:r>
    <w:r w:rsidR="004A4FBA">
      <w:t>210</w:t>
    </w:r>
    <w:r w:rsidR="00C65C9D">
      <w:t>517</w:t>
    </w:r>
    <w:r w:rsidR="00D055D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ACB"/>
    <w:multiLevelType w:val="hybridMultilevel"/>
    <w:tmpl w:val="3E0EEF12"/>
    <w:lvl w:ilvl="0" w:tplc="27843972">
      <w:start w:val="6"/>
      <w:numFmt w:val="decimal"/>
      <w:lvlText w:val="%1"/>
      <w:lvlJc w:val="left"/>
      <w:pPr>
        <w:ind w:left="538" w:hanging="433"/>
      </w:pPr>
      <w:rPr>
        <w:rFonts w:ascii="Arial" w:eastAsia="Arial" w:hAnsi="Arial" w:cs="Arial" w:hint="default"/>
        <w:b/>
        <w:bCs/>
        <w:color w:val="0071C5"/>
        <w:w w:val="100"/>
        <w:sz w:val="32"/>
        <w:szCs w:val="32"/>
      </w:rPr>
    </w:lvl>
    <w:lvl w:ilvl="1" w:tplc="2CB0B6EE">
      <w:start w:val="1"/>
      <w:numFmt w:val="bullet"/>
      <w:lvlText w:val=""/>
      <w:lvlJc w:val="left"/>
      <w:pPr>
        <w:ind w:left="827" w:hanging="353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BA2974E">
      <w:start w:val="1"/>
      <w:numFmt w:val="bullet"/>
      <w:lvlText w:val="•"/>
      <w:lvlJc w:val="left"/>
      <w:pPr>
        <w:ind w:left="1760" w:hanging="353"/>
      </w:pPr>
      <w:rPr>
        <w:rFonts w:hint="default"/>
      </w:rPr>
    </w:lvl>
    <w:lvl w:ilvl="3" w:tplc="16E47516">
      <w:start w:val="1"/>
      <w:numFmt w:val="bullet"/>
      <w:lvlText w:val="•"/>
      <w:lvlJc w:val="left"/>
      <w:pPr>
        <w:ind w:left="2700" w:hanging="353"/>
      </w:pPr>
      <w:rPr>
        <w:rFonts w:hint="default"/>
      </w:rPr>
    </w:lvl>
    <w:lvl w:ilvl="4" w:tplc="6706BC60">
      <w:start w:val="1"/>
      <w:numFmt w:val="bullet"/>
      <w:lvlText w:val="•"/>
      <w:lvlJc w:val="left"/>
      <w:pPr>
        <w:ind w:left="3641" w:hanging="353"/>
      </w:pPr>
      <w:rPr>
        <w:rFonts w:hint="default"/>
      </w:rPr>
    </w:lvl>
    <w:lvl w:ilvl="5" w:tplc="3864CD56">
      <w:start w:val="1"/>
      <w:numFmt w:val="bullet"/>
      <w:lvlText w:val="•"/>
      <w:lvlJc w:val="left"/>
      <w:pPr>
        <w:ind w:left="4581" w:hanging="353"/>
      </w:pPr>
      <w:rPr>
        <w:rFonts w:hint="default"/>
      </w:rPr>
    </w:lvl>
    <w:lvl w:ilvl="6" w:tplc="F496D938">
      <w:start w:val="1"/>
      <w:numFmt w:val="bullet"/>
      <w:lvlText w:val="•"/>
      <w:lvlJc w:val="left"/>
      <w:pPr>
        <w:ind w:left="5522" w:hanging="353"/>
      </w:pPr>
      <w:rPr>
        <w:rFonts w:hint="default"/>
      </w:rPr>
    </w:lvl>
    <w:lvl w:ilvl="7" w:tplc="EB329FDE">
      <w:start w:val="1"/>
      <w:numFmt w:val="bullet"/>
      <w:lvlText w:val="•"/>
      <w:lvlJc w:val="left"/>
      <w:pPr>
        <w:ind w:left="6462" w:hanging="353"/>
      </w:pPr>
      <w:rPr>
        <w:rFonts w:hint="default"/>
      </w:rPr>
    </w:lvl>
    <w:lvl w:ilvl="8" w:tplc="724092FA">
      <w:start w:val="1"/>
      <w:numFmt w:val="bullet"/>
      <w:lvlText w:val="•"/>
      <w:lvlJc w:val="left"/>
      <w:pPr>
        <w:ind w:left="7403" w:hanging="353"/>
      </w:pPr>
      <w:rPr>
        <w:rFonts w:hint="default"/>
      </w:rPr>
    </w:lvl>
  </w:abstractNum>
  <w:abstractNum w:abstractNumId="1" w15:restartNumberingAfterBreak="0">
    <w:nsid w:val="46916106"/>
    <w:multiLevelType w:val="hybridMultilevel"/>
    <w:tmpl w:val="CB2AA160"/>
    <w:lvl w:ilvl="0" w:tplc="52CCC8A8">
      <w:start w:val="1"/>
      <w:numFmt w:val="bullet"/>
      <w:lvlText w:val="•"/>
      <w:lvlJc w:val="left"/>
      <w:pPr>
        <w:ind w:left="442" w:hanging="300"/>
      </w:pPr>
      <w:rPr>
        <w:rFonts w:ascii="Calibri" w:eastAsia="Calibri" w:hAnsi="Calibri" w:cs="Calibri" w:hint="default"/>
        <w:color w:val="auto"/>
        <w:w w:val="100"/>
        <w:sz w:val="24"/>
        <w:szCs w:val="24"/>
      </w:rPr>
    </w:lvl>
    <w:lvl w:ilvl="1" w:tplc="60DEA0F2">
      <w:start w:val="1"/>
      <w:numFmt w:val="bullet"/>
      <w:lvlText w:val="•"/>
      <w:lvlJc w:val="left"/>
      <w:pPr>
        <w:ind w:left="1147" w:hanging="300"/>
      </w:pPr>
      <w:rPr>
        <w:rFonts w:hint="default"/>
      </w:rPr>
    </w:lvl>
    <w:lvl w:ilvl="2" w:tplc="159A2F4E">
      <w:start w:val="1"/>
      <w:numFmt w:val="bullet"/>
      <w:lvlText w:val="•"/>
      <w:lvlJc w:val="left"/>
      <w:pPr>
        <w:ind w:left="1850" w:hanging="300"/>
      </w:pPr>
      <w:rPr>
        <w:rFonts w:hint="default"/>
      </w:rPr>
    </w:lvl>
    <w:lvl w:ilvl="3" w:tplc="3760E652">
      <w:start w:val="1"/>
      <w:numFmt w:val="bullet"/>
      <w:lvlText w:val="•"/>
      <w:lvlJc w:val="left"/>
      <w:pPr>
        <w:ind w:left="2552" w:hanging="300"/>
      </w:pPr>
      <w:rPr>
        <w:rFonts w:hint="default"/>
      </w:rPr>
    </w:lvl>
    <w:lvl w:ilvl="4" w:tplc="5FF21BCE">
      <w:start w:val="1"/>
      <w:numFmt w:val="bullet"/>
      <w:lvlText w:val="•"/>
      <w:lvlJc w:val="left"/>
      <w:pPr>
        <w:ind w:left="3255" w:hanging="300"/>
      </w:pPr>
      <w:rPr>
        <w:rFonts w:hint="default"/>
      </w:rPr>
    </w:lvl>
    <w:lvl w:ilvl="5" w:tplc="0D7E0CC0">
      <w:start w:val="1"/>
      <w:numFmt w:val="bullet"/>
      <w:lvlText w:val="•"/>
      <w:lvlJc w:val="left"/>
      <w:pPr>
        <w:ind w:left="3958" w:hanging="300"/>
      </w:pPr>
      <w:rPr>
        <w:rFonts w:hint="default"/>
      </w:rPr>
    </w:lvl>
    <w:lvl w:ilvl="6" w:tplc="83B88DD0">
      <w:start w:val="1"/>
      <w:numFmt w:val="bullet"/>
      <w:lvlText w:val="•"/>
      <w:lvlJc w:val="left"/>
      <w:pPr>
        <w:ind w:left="4660" w:hanging="300"/>
      </w:pPr>
      <w:rPr>
        <w:rFonts w:hint="default"/>
      </w:rPr>
    </w:lvl>
    <w:lvl w:ilvl="7" w:tplc="D39A7854">
      <w:start w:val="1"/>
      <w:numFmt w:val="bullet"/>
      <w:lvlText w:val="•"/>
      <w:lvlJc w:val="left"/>
      <w:pPr>
        <w:ind w:left="5363" w:hanging="300"/>
      </w:pPr>
      <w:rPr>
        <w:rFonts w:hint="default"/>
      </w:rPr>
    </w:lvl>
    <w:lvl w:ilvl="8" w:tplc="A8F2E134">
      <w:start w:val="1"/>
      <w:numFmt w:val="bullet"/>
      <w:lvlText w:val="•"/>
      <w:lvlJc w:val="left"/>
      <w:pPr>
        <w:ind w:left="6065" w:hanging="300"/>
      </w:pPr>
      <w:rPr>
        <w:rFonts w:hint="default"/>
      </w:rPr>
    </w:lvl>
  </w:abstractNum>
  <w:abstractNum w:abstractNumId="2" w15:restartNumberingAfterBreak="0">
    <w:nsid w:val="6A185EC7"/>
    <w:multiLevelType w:val="hybridMultilevel"/>
    <w:tmpl w:val="93A6B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37145C"/>
    <w:multiLevelType w:val="hybridMultilevel"/>
    <w:tmpl w:val="C83C5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7743F9"/>
    <w:multiLevelType w:val="hybridMultilevel"/>
    <w:tmpl w:val="EF982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C17B58"/>
    <w:multiLevelType w:val="hybridMultilevel"/>
    <w:tmpl w:val="40DEEE0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F0F383B"/>
    <w:multiLevelType w:val="hybridMultilevel"/>
    <w:tmpl w:val="43DCD2EE"/>
    <w:lvl w:ilvl="0" w:tplc="A90249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A5"/>
    <w:rsid w:val="00040D50"/>
    <w:rsid w:val="00166C5E"/>
    <w:rsid w:val="001C506D"/>
    <w:rsid w:val="00235690"/>
    <w:rsid w:val="00431559"/>
    <w:rsid w:val="0045544C"/>
    <w:rsid w:val="004A4FBA"/>
    <w:rsid w:val="00524D47"/>
    <w:rsid w:val="00594063"/>
    <w:rsid w:val="006576C8"/>
    <w:rsid w:val="00783355"/>
    <w:rsid w:val="007A0CB2"/>
    <w:rsid w:val="007B25CA"/>
    <w:rsid w:val="00865310"/>
    <w:rsid w:val="008D1C7E"/>
    <w:rsid w:val="009346FB"/>
    <w:rsid w:val="0096479E"/>
    <w:rsid w:val="009A68CF"/>
    <w:rsid w:val="00A0055C"/>
    <w:rsid w:val="00AB3DE7"/>
    <w:rsid w:val="00B0638D"/>
    <w:rsid w:val="00B10344"/>
    <w:rsid w:val="00B751F6"/>
    <w:rsid w:val="00BE1CE4"/>
    <w:rsid w:val="00BF69FC"/>
    <w:rsid w:val="00C65C9D"/>
    <w:rsid w:val="00C77FA5"/>
    <w:rsid w:val="00CF292C"/>
    <w:rsid w:val="00D055D7"/>
    <w:rsid w:val="00D73B3B"/>
    <w:rsid w:val="00DC2EB9"/>
    <w:rsid w:val="00E37B9A"/>
    <w:rsid w:val="00EE4F4E"/>
    <w:rsid w:val="00F22D89"/>
    <w:rsid w:val="00F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B0719-55B0-470C-B61F-55CBE77C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FA5"/>
  </w:style>
  <w:style w:type="paragraph" w:styleId="Heading1">
    <w:name w:val="heading 1"/>
    <w:basedOn w:val="Normal"/>
    <w:link w:val="Heading1Char"/>
    <w:uiPriority w:val="1"/>
    <w:qFormat/>
    <w:rsid w:val="00431559"/>
    <w:pPr>
      <w:widowControl w:val="0"/>
      <w:spacing w:before="69" w:after="0" w:line="240" w:lineRule="auto"/>
      <w:ind w:left="105" w:right="120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2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77FA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77FA5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77FA5"/>
    <w:rPr>
      <w:rFonts w:ascii="Calibri" w:eastAsia="Calibri" w:hAnsi="Calibri" w:cs="Calibri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431559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31559"/>
    <w:pPr>
      <w:widowControl w:val="0"/>
      <w:spacing w:after="0" w:line="243" w:lineRule="exact"/>
      <w:ind w:left="112" w:right="430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B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2E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F2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92C"/>
  </w:style>
  <w:style w:type="paragraph" w:styleId="Footer">
    <w:name w:val="footer"/>
    <w:basedOn w:val="Normal"/>
    <w:link w:val="FooterChar"/>
    <w:uiPriority w:val="99"/>
    <w:unhideWhenUsed/>
    <w:rsid w:val="00CF2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5179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Brown</dc:creator>
  <cp:lastModifiedBy>Louanna Lubega</cp:lastModifiedBy>
  <cp:revision>2</cp:revision>
  <dcterms:created xsi:type="dcterms:W3CDTF">2022-09-20T20:39:00Z</dcterms:created>
  <dcterms:modified xsi:type="dcterms:W3CDTF">2022-09-20T20:39:00Z</dcterms:modified>
</cp:coreProperties>
</file>